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480"/>
        <w:jc w:val="center"/>
      </w:pPr>
      <w:r>
        <w:rPr>
          <w:rFonts w:ascii="Arial" w:hAnsi="Arial" w:eastAsia="黑体"/>
          <w:b/>
          <w:i w:val="0"/>
          <w:color w:val="000000"/>
          <w:sz w:val="36"/>
        </w:rPr>
        <w:t>宇树科技（688836.SH）公司研究报告</w:t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000000"/>
          <w:sz w:val="28"/>
        </w:rPr>
        <w:t>经营与财务表现分析</w:t>
      </w:r>
    </w:p>
    <w:p>
      <w:pPr>
        <w:spacing w:after="0" w:before="0"/>
        <w:ind w:firstLine="0" w:firstLineChars="0"/>
        <w:jc w:val="center"/>
      </w:pPr>
      <w:r>
        <w:rPr>
          <w:rFonts w:ascii="Arial" w:hAnsi="Arial" w:eastAsia="宋体"/>
          <w:b w:val="0"/>
          <w:i w:val="0"/>
          <w:color w:val="767676"/>
          <w:sz w:val="21"/>
        </w:rPr>
        <w:t>资料截止日：2026年8月30日（该日之后二级市场行情不纳入）｜生成日期：2026年9月4日</w:t>
      </w:r>
    </w:p>
    <w:p>
      <w:pPr>
        <w:spacing w:after="200" w:before="0"/>
        <w:ind w:firstLine="0" w:firstLineChars="0"/>
        <w:jc w:val="center"/>
      </w:pPr>
      <w:r>
        <w:rPr>
          <w:rFonts w:ascii="Arial" w:hAnsi="Arial" w:eastAsia="宋体"/>
          <w:b w:val="0"/>
          <w:i w:val="0"/>
          <w:color w:val="767676"/>
          <w:sz w:val="21"/>
        </w:rPr>
        <w:t>金额单位除注明外均为人民币万元；A＝已实现（经审计/经审阅/上市公告书披露），E＝预测；年度数据采用招股说明书注册稿口径。</w:t>
      </w:r>
    </w:p>
    <w:p>
      <w:pPr>
        <w:jc w:val="center"/>
      </w:pPr>
      <w:r>
        <w:rPr>
          <w:rFonts w:ascii="Arial" w:hAnsi="Arial" w:eastAsia="黑体"/>
          <w:b/>
          <w:i w:val="0"/>
          <w:color w:val="000000"/>
          <w:sz w:val="28"/>
        </w:rPr>
        <w:t>目  录</w:t>
      </w:r>
    </w:p>
    <w:p>
      <w:r>
        <w:rPr>
          <w:rFonts w:ascii="Arial" w:hAnsi="Arial" w:eastAsia="宋体"/>
          <w:b w:val="0"/>
          <w:i w:val="0"/>
          <w:color w:val="767676"/>
          <w:sz w:val="21"/>
        </w:rPr>
        <w:fldChar w:fldCharType="begin"/>
        <w:instrText xml:space="preserve">TOC \o "1-2" \h \z \u</w:instrText>
        <w:fldChar w:fldCharType="separate"/>
        <w:t>（打开后右键“更新域”即可生成目录）</w:t>
        <w:fldChar w:fldCharType="end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执行摘要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核心判断：宇树科技处于“收入高速扩张、产品结构快速切换、盈利质量以扣非口径更真实”的阶段。2023—2025年营业收入由1.59亿元增至16.99亿元，两年复合增速约226.8%，但同比增速已由2025年全年的332.6%回落至2026年上半年的48.5%，高增速阶段正在过去；2025年人形机器人收入占比过半、取代四足成为第一大产品，同时研发与销售费用扩张使2026年上半年扣非利润同比下降，规模增长与盈利承压并存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关键依据：①2025年营业收入169,926.93万元、扣非后归母净利润59,075.28万元、扣非净利率约34.8%、主营业务毛利率60.13%；②归母净利润27,821.05万元低于扣非数，差额-31,254.23万元为非经常性净损失（主要为股份支付），分析盈利应以扣非为主；③人形机器人收入占主营比重由1.88%升至51.78%，销量由5台增至5,215台、平均单价由59.34万元降至16.64万元；④2025年经营活动现金流净额66,998.18万元、合并资产负债率18.82%，报表稳健；⑤2026年上半年营收115,224.56万元（同比+48.5%）、扣非24,393.03万元（同比-19.3%）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主要约束：人形下游仍以科研教育为主（2025年1—9月占人形收入73.6%）、行业规模化商业落地尚早；产品降价与费用扩张可能继续压制利润率；2026年上半年数据取自上市公告书、未经审计；发行估值偏高（发行市盈率219.23倍为媒体口径、待核）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关注动作：跟踪扣非利润率与费用率拐点、人形在行业应用场景的订单占比、募投项目（模型/本体/制造基地）实际投入与达产进度，以及正式半年报对上市公告书数据的审计确认。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1  公司概况、主营业务与产品结构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1.1  公司概况与发行上市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宇树科技股份有限公司（简称宇树科技，科创板代码688836.SH）主营高性能通用人形机器人、四足机器人、机器人组件及具身智能模型的研发、生产与销售，于2026年8月19日在上海证券交易所科创板上市。本次公开发行4,044.6434万股、占发行后总股本10.00%，发行价150.80元/股，发行募资总额60.99亿元、净额59.17亿元，发行价对应市值609.93亿元；公司设置表决权差异安排，按“预计市值不低于100亿元”的科创板标准上市，实际控制人王兴兴发行后持股21.44%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需要说明：发行市盈率219.23倍来自媒体口径，尚需以发行公告原文核验；2025年6月Pre-IPO轮投前估值120亿元、投后127亿元，是IPO前最近一次市场化股权定价。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1.2  产品结构：人形跃升为第一大产品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按主营业务口径，公司收入由人形机器人、四足机器人、机器人组件及其他构成。2023—2025年结构发生根本性切换：人形机器人收入由296.71万元增至86,783.19万元，占主营比重由1.88%升至51.78%；四足机器人由11,938.09万元增至69,762.56万元，占比由75.78%降至41.62%，由绝对主力转为基本盘；组件及其他占比降至约6.6%（2025年组件与其他未单列，按主营轧差，其中组件约1.04亿元、精确拆分待核）。</w:t>
      </w:r>
    </w:p>
    <w:p>
      <w:pPr>
        <w:spacing w:after="80" w:before="120"/>
        <w:ind w:firstLine="0" w:firstLineChars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表1  主营业务收入分产品结构（万元，主营口径）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 w:val="true"/>
        </w:trPr>
        <w:tc>
          <w:tcPr>
            <w:tcW w:type="dxa" w:w="1757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产品</w:t>
            </w:r>
          </w:p>
        </w:tc>
        <w:tc>
          <w:tcPr>
            <w:tcW w:type="dxa" w:w="1332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2023A</w:t>
            </w:r>
          </w:p>
        </w:tc>
        <w:tc>
          <w:tcPr>
            <w:tcW w:type="dxa" w:w="1106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占比</w:t>
            </w:r>
          </w:p>
        </w:tc>
        <w:tc>
          <w:tcPr>
            <w:tcW w:type="dxa" w:w="1332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2024A</w:t>
            </w:r>
          </w:p>
        </w:tc>
        <w:tc>
          <w:tcPr>
            <w:tcW w:type="dxa" w:w="1106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占比</w:t>
            </w:r>
          </w:p>
        </w:tc>
        <w:tc>
          <w:tcPr>
            <w:tcW w:type="dxa" w:w="1332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2025A</w:t>
            </w:r>
          </w:p>
        </w:tc>
        <w:tc>
          <w:tcPr>
            <w:tcW w:type="dxa" w:w="1106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占比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人形机器人</w:t>
            </w:r>
          </w:p>
        </w:tc>
        <w:tc>
          <w:tcPr>
            <w:tcW w:type="dxa" w:w="1332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296.71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1.88%</w:t>
            </w:r>
          </w:p>
        </w:tc>
        <w:tc>
          <w:tcPr>
            <w:tcW w:type="dxa" w:w="1332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10,689.76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27.60%</w:t>
            </w:r>
          </w:p>
        </w:tc>
        <w:tc>
          <w:tcPr>
            <w:tcW w:type="dxa" w:w="1332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86,783.19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51.78%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四足机器人</w:t>
            </w:r>
          </w:p>
        </w:tc>
        <w:tc>
          <w:tcPr>
            <w:tcW w:type="dxa" w:w="1332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11,938.09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75.78%</w:t>
            </w:r>
          </w:p>
        </w:tc>
        <w:tc>
          <w:tcPr>
            <w:tcW w:type="dxa" w:w="1332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23,054.37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59.53%</w:t>
            </w:r>
          </w:p>
        </w:tc>
        <w:tc>
          <w:tcPr>
            <w:tcW w:type="dxa" w:w="1332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69,762.56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41.62%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组件及其他</w:t>
            </w:r>
          </w:p>
        </w:tc>
        <w:tc>
          <w:tcPr>
            <w:tcW w:type="dxa" w:w="1332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3,518.85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22.34%</w:t>
            </w:r>
          </w:p>
        </w:tc>
        <w:tc>
          <w:tcPr>
            <w:tcW w:type="dxa" w:w="1332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4,983.15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12.87%</w:t>
            </w:r>
          </w:p>
        </w:tc>
        <w:tc>
          <w:tcPr>
            <w:tcW w:type="dxa" w:w="1332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11,065.34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6.60%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主营业务合计</w:t>
            </w:r>
          </w:p>
        </w:tc>
        <w:tc>
          <w:tcPr>
            <w:tcW w:type="dxa" w:w="1332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15,753.65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100.00%</w:t>
            </w:r>
          </w:p>
        </w:tc>
        <w:tc>
          <w:tcPr>
            <w:tcW w:type="dxa" w:w="1332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38,727.28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100.00%</w:t>
            </w:r>
          </w:p>
        </w:tc>
        <w:tc>
          <w:tcPr>
            <w:tcW w:type="dxa" w:w="1332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167,611.09</w:t>
            </w:r>
          </w:p>
        </w:tc>
        <w:tc>
          <w:tcPr>
            <w:tcW w:type="dxa" w:w="1106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100.00%</w:t>
            </w:r>
          </w:p>
        </w:tc>
      </w:tr>
    </w:tbl>
    <w:p>
      <w:pPr>
        <w:spacing w:after="120" w:before="0"/>
        <w:ind w:firstLine="0" w:firstLineChars="0"/>
        <w:jc w:val="left"/>
      </w:pPr>
      <w:r>
        <w:rPr>
          <w:rFonts w:ascii="Arial" w:hAnsi="Arial" w:eastAsia="宋体"/>
          <w:b w:val="0"/>
          <w:i w:val="0"/>
          <w:color w:val="767676"/>
          <w:sz w:val="18"/>
        </w:rPr>
        <w:t>数据来源：招股说明书（注册稿）及券商研报转引（底稿S1/S7/S8）；占比由本表收入除以主营合计现算；2025年组件及其他为轧差数。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1.3  销量与单价：量增价减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人形机器人销量由2023年的5台增至2024年412台、2025年5,215台，同期披露平均单价由59.34万元/台降至26.04万元、再降至16.64万元/台，价格带随G1等产品下探至10万元级；四足机器人销量由3,121台增至23,037台，单价由3.83万元降至3.03万元。出货放量伴随单位价格下行，是“以价换量、扩大装机基数”的典型路径。公司称2025年纯人形机器人出货超5,500台、出货量全球第一（与确认收入口径5,215台存在统计差异）；报告期四足累计销量超3.3万台。</w:t>
      </w:r>
    </w:p>
    <w:p>
      <w:pPr>
        <w:spacing w:after="80" w:before="120"/>
        <w:ind w:firstLine="0" w:firstLineChars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表2  主要产品销量与平均单价（销量：台；单价：万元/台）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608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2154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2023A</w:t>
            </w:r>
          </w:p>
        </w:tc>
        <w:tc>
          <w:tcPr>
            <w:tcW w:type="dxa" w:w="2154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2024A</w:t>
            </w:r>
          </w:p>
        </w:tc>
        <w:tc>
          <w:tcPr>
            <w:tcW w:type="dxa" w:w="2154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2025A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人形销量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412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5,215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人形平均单价(披露)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59.34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26.04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16.64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四足销量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3,121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7,136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23,037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四足平均单价(披露)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3.83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3.23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3.03</w:t>
            </w:r>
          </w:p>
        </w:tc>
      </w:tr>
    </w:tbl>
    <w:p>
      <w:pPr>
        <w:spacing w:after="120" w:before="0"/>
        <w:ind w:firstLine="0" w:firstLineChars="0"/>
        <w:jc w:val="left"/>
      </w:pPr>
      <w:r>
        <w:rPr>
          <w:rFonts w:ascii="Arial" w:hAnsi="Arial" w:eastAsia="宋体"/>
          <w:b w:val="0"/>
          <w:i w:val="0"/>
          <w:color w:val="767676"/>
          <w:sz w:val="18"/>
        </w:rPr>
        <w:t>数据来源：底稿S1/S7/S8。注：人形2024年按注册稿销量412台机械相除得约25.95万元，与披露单价26.04万元的差异源于申报稿与注册稿版本修订，本报告采用披露值。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1.4  地区结构：境内放量、境外占比回落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2023—2024年境外收入约占主营55.6%—55.7%，2025年境内收入94,445.56万元（占56.35%）反超境外73,165.53万元（占43.65%），主要来自国内人形机器人需求放量。海外仍是重要市场，外销结算与汇率波动需持续关注。</w:t>
      </w:r>
    </w:p>
    <w:p>
      <w:pPr>
        <w:spacing w:after="80" w:before="120"/>
        <w:ind w:firstLine="0" w:firstLineChars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表3  主营业务收入分地区（万元）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地区</w:t>
            </w:r>
          </w:p>
        </w:tc>
        <w:tc>
          <w:tcPr>
            <w:tcW w:type="dxa" w:w="1361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2023A</w:t>
            </w:r>
          </w:p>
        </w:tc>
        <w:tc>
          <w:tcPr>
            <w:tcW w:type="dxa" w:w="1134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占比</w:t>
            </w:r>
          </w:p>
        </w:tc>
        <w:tc>
          <w:tcPr>
            <w:tcW w:type="dxa" w:w="1361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2024A</w:t>
            </w:r>
          </w:p>
        </w:tc>
        <w:tc>
          <w:tcPr>
            <w:tcW w:type="dxa" w:w="1134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占比</w:t>
            </w:r>
          </w:p>
        </w:tc>
        <w:tc>
          <w:tcPr>
            <w:tcW w:type="dxa" w:w="1361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2025A</w:t>
            </w:r>
          </w:p>
        </w:tc>
        <w:tc>
          <w:tcPr>
            <w:tcW w:type="dxa" w:w="1134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占比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境内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6,989.41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44.37%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17,116.54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44.20%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94,445.56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56.35%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境外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8,764.24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55.63%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21,610.74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55.80%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73,165.53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43.65%</w:t>
            </w:r>
          </w:p>
        </w:tc>
      </w:tr>
    </w:tbl>
    <w:p>
      <w:pPr>
        <w:spacing w:after="120" w:before="0"/>
        <w:ind w:firstLine="0" w:firstLineChars="0"/>
        <w:jc w:val="left"/>
      </w:pPr>
      <w:r>
        <w:rPr>
          <w:rFonts w:ascii="Arial" w:hAnsi="Arial" w:eastAsia="宋体"/>
          <w:b w:val="0"/>
          <w:i w:val="0"/>
          <w:color w:val="767676"/>
          <w:sz w:val="18"/>
        </w:rPr>
        <w:t>数据来源：招股意向书、招股说明书（底稿S4/S1）；2024年境内为主营减境外轧差数。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1.5  下游应用场景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按2025年1—9月（申报稿口径，非全年）结构，人形机器人收入中科研教育占73.60%、商业消费占17.39%、行业应用仅占9.01%，需求仍高度依赖科研教育；四足机器人场景相对均衡，科研教育、商业消费、行业应用分别占31.58%、42.30%、26.12%。人形机器人向工业等行业场景的规模化渗透尚处早期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2  收入与盈利变化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2.1  高增长与增速换挡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2023—2025年营业收入分别为15,913.44万元、39,277.07万元、169,926.93万元，2024、2025年同比分别增长146.82%、332.64%，两年复合增长率约226.78%。进入2026年后增速明显回落：2026年一季度营收同比+68.49%，上半年同比+48.54%。增速下行主要源于基数抬高，公司亦提及行业热度缓和与竞争加剧，高斜率增长阶段正在向中高速过渡。</w:t>
      </w:r>
    </w:p>
    <w:p>
      <w:pPr>
        <w:spacing w:after="80" w:before="120"/>
        <w:ind w:firstLine="0" w:firstLineChars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表4  核心经营与财务指标（万元，比率除外）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2023A</w:t>
            </w:r>
          </w:p>
        </w:tc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2024A</w:t>
            </w:r>
          </w:p>
        </w:tc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2025A</w:t>
            </w:r>
          </w:p>
        </w:tc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2026H1A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营业收入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15,913.44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39,277.07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169,926.93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115,224.56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营业收入同比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146.82%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332.64%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48.54%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归母净利润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-1,114.51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9,547.47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27,821.05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27,399.99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扣非后归母净利润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-1,801.91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7,847.65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59,075.28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24,393.03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主营业务毛利率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44.22%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56.74%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60.13%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56.01%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销售净利率(归母)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-7.00%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24.31%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16.37%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扣非净利率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-11.32%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19.98%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34.77%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扣非加权ROE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-5.92%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8.60%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28.70%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9.99%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经营现金流净额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494.25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19,239.13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66,998.18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23,154.53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资产总额(期末)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39,127.15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152,786.94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320,853.83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384,546.94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合并资产负债率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23.57%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16.19%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18.82%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25.11%</w:t>
            </w:r>
          </w:p>
        </w:tc>
      </w:tr>
    </w:tbl>
    <w:p>
      <w:pPr>
        <w:spacing w:after="120" w:before="0"/>
        <w:ind w:firstLine="0" w:firstLineChars="0"/>
        <w:jc w:val="left"/>
      </w:pPr>
      <w:r>
        <w:rPr>
          <w:rFonts w:ascii="Arial" w:hAnsi="Arial" w:eastAsia="宋体"/>
          <w:b w:val="0"/>
          <w:i w:val="0"/>
          <w:color w:val="767676"/>
          <w:sz w:val="18"/>
        </w:rPr>
        <w:t>数据来源：上市保荐书（注册稿）、落实函回复、上市公告书（底稿S2/S3/S5）；比率由原值现算并与披露值核对。2026H1为上市公告书披露、未经审计；2025年基本每股收益0.76元。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2.2  盈利质量：扣非强、归母受股份支付扰动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盈利能力快速改善：主营业务毛利率由44.22%升至56.74%、再到60.13%，主要依托全栈自研与核心零部件自产；2024年实现扭亏，2025年扣非后归母净利润59,075.28万元、扣非净利率约34.77%，扣非加权平均净资产收益率28.70%。但2025年归母净利润仅27,821.05万元，低于扣非数31,254.23万元，差额为非经常性净损失，主要系股权激励形成的股份支付费用。因此，评估公司经常性盈利能力应以扣非口径为主，归母口径会被一次性/非经常项目扰动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2.3  2026年上半年：收入增长、扣非承压，预测与实际分列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2026年上半年公司实现营业收入115,224.56万元、归母净利润27,399.99万元（上年同期为-3,202.45万元、同比扭亏，低基数中包含上年同期约3.49亿元股份支付费用）；扣非后归母净利润24,393.03万元、同比下降19.34%（2026年一季度扣非同比-52.55%）。扣非下滑主要源于研发费用（上半年同比增加约8,203.74万元）与销售费用（上半年16,407.27万元，含品牌推广与销售扩编）快速扩张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公司曾于2026年5月（上会稿）披露2026年上半年业绩预告（预测，E）：营业收入105,200万—112,800万元、归母净利润25,800万—30,600万元、扣非23,600万—28,300万元。对照上市公告书实际数（A）：实际营收略高于预测上限，归母、扣非均落在预测区间内。预测仅作参照，不应当作既成事实。</w:t>
      </w:r>
    </w:p>
    <w:p>
      <w:pPr>
        <w:spacing w:after="80" w:before="120"/>
        <w:ind w:firstLine="0" w:firstLineChars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表5  2026年上半年业绩预告（E，预测）与实际（A）对照（万元）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预测下限(E)</w:t>
            </w:r>
          </w:p>
        </w:tc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预测上限(E)</w:t>
            </w:r>
          </w:p>
        </w:tc>
        <w:tc>
          <w:tcPr>
            <w:tcW w:type="dxa" w:w="1701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实际(A)</w:t>
            </w:r>
          </w:p>
        </w:tc>
        <w:tc>
          <w:tcPr>
            <w:tcW w:type="dxa" w:w="1928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对照结论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营业收入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105,200.00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112,800.00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115,224.56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略超上限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归母净利润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25,800.00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30,600.00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27,399.99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落在区间内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扣非归母净利润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23,600.00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28,300.00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24,393.03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落在区间内</w:t>
            </w:r>
          </w:p>
        </w:tc>
      </w:tr>
    </w:tbl>
    <w:p>
      <w:pPr>
        <w:spacing w:after="120" w:before="0"/>
        <w:ind w:firstLine="0" w:firstLineChars="0"/>
        <w:jc w:val="left"/>
      </w:pPr>
      <w:r>
        <w:rPr>
          <w:rFonts w:ascii="Arial" w:hAnsi="Arial" w:eastAsia="宋体"/>
          <w:b w:val="0"/>
          <w:i w:val="0"/>
          <w:color w:val="767676"/>
          <w:sz w:val="18"/>
        </w:rPr>
        <w:t>数据来源：业绩预告取自2026-05上会稿（预测）；实际取自2026-08-17上市公告书（未经审计）。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i w:val="0"/>
          <w:color w:val="000000"/>
          <w:sz w:val="28"/>
        </w:rPr>
        <w:t>2.4  现金流与资产负债表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经营活动现金流净额由494.25万元增至19,239.13万元、再到66,998.18万元，2025年经营现金流/营业收入约39.4%，现金对利润覆盖较充分；2023—2025年合并资产负债率为23.57%、16.19%、18.82%，整体低杠杆。截至2026年6月末，公司总资产384,546.94万元、较年初增长19.85%，资产负债率回升至25.11%（合同负债、应付款项及租赁负债增加），上半年经营现金流净额23,154.53万元、同比下降32.53%，需持续跟踪回款与负债结构变化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3  研发投入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研发费用绝对额持续上升、费用率因收入快速放大而下降：2023—2025年研发费用分别为4,995.18万元、7,001.70万元、14,496.56万元，三年累计26,493.44万元；研发费用率由31.39%降至17.83%、再到8.53%，属于规模摊薄而非投入收缩。截至2025年末公司员工516人，其中研发人员184人、占35.66%。</w:t>
      </w:r>
    </w:p>
    <w:p>
      <w:pPr>
        <w:spacing w:after="80" w:before="120"/>
        <w:ind w:firstLine="0" w:firstLineChars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表6  研发投入与人员（万元、人、%）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608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2154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2023A</w:t>
            </w:r>
          </w:p>
        </w:tc>
        <w:tc>
          <w:tcPr>
            <w:tcW w:type="dxa" w:w="2154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2024A</w:t>
            </w:r>
          </w:p>
        </w:tc>
        <w:tc>
          <w:tcPr>
            <w:tcW w:type="dxa" w:w="2154"/>
            <w:vAlign w:val="center"/>
            <w:shd w:val="clear" w:fill="D9D9D9"/>
          </w:tcPr>
          <w:p>
            <w:pPr>
              <w:spacing w:line="240" w:lineRule="auto"/>
              <w:ind w:firstLine="0" w:firstLineChars="0"/>
              <w:jc w:val="center"/>
            </w:pPr>
            <w:r/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2025A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研发费用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4,995.18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7,001.70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14,496.56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研发费用率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31.39%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17.83%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8.53%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员工总数(期末)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516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研发人员(期末)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184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 w:firstLineChars="0"/>
              <w:jc w:val="lef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研发人员占比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 w:firstLineChars="0"/>
              <w:jc w:val="right"/>
            </w:pPr>
            <w:r/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35.66%</w:t>
            </w:r>
          </w:p>
        </w:tc>
      </w:tr>
    </w:tbl>
    <w:p>
      <w:pPr>
        <w:spacing w:after="120" w:before="0"/>
        <w:ind w:firstLine="0" w:firstLineChars="0"/>
        <w:jc w:val="left"/>
      </w:pPr>
      <w:r>
        <w:rPr>
          <w:rFonts w:ascii="Arial" w:hAnsi="Arial" w:eastAsia="宋体"/>
          <w:b w:val="0"/>
          <w:i w:val="0"/>
          <w:color w:val="767676"/>
          <w:sz w:val="18"/>
        </w:rPr>
        <w:t>数据来源：上市保荐书（底稿S2）；研发费用率由研发费用/营业收入现算；人员仅取得2025年末数。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从募投方向看，原拟募资约42.02亿元中，智能机器人模型研发（20.22亿元）、机器人本体研发（11.10亿元）、新型智能机器人产品开发（4.45亿元）三项合计约35.77亿元、占比约85%，战略资源明显向具身智能“大脑/小脑”模型与本体技术倾斜（分项金额为约数、精确值以招股书为准）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4  竞争优势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（1）全栈自研支撑高毛利。主营业务毛利率三年提升至60.13%，与公司在电机、控制器、感知算法、整机及具身智能模型上的垂直自研、核心零部件自产直接相关，高毛利为研发再投入和价格下探留出空间。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2）出货规模与产品矩阵领先。人形机器人2025年确认收入口径销量5,215台、公司称纯人形出货超5,500台居全球第一；四足报告期累计销量超3.3万台、全球份额领先，规模效应有助于摊薄单位成本并巩固供应链议价能力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（3）产销衔接顺畅。2025年前三季度人形机器人产销率超过95%，基本满产满销，显示需求侧对现有产能形成较强支撑。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（4）产品价格带持续下探、拓宽可及市场。人形平均单价由59.34万元降至16.64万元、四足降至3.03万元，通过G1等产品把价格带下探至10万元级，有利于扩大装机与开发者生态。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5）报表稳健、具备融资能力。2025年末资产负债率仅18.82%、经营现金流66,998.18万元；2026年8月IPO募资净额59.17亿元（相对原拟投项目形成超募），为模型、本体研发与制造基地建设提供资金。上述优势均以披露数据为依据，技术领先性的同业量化对比本报告未取得充分一手数据，不作扩展结论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5  增长变量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（1）人形机器人放量与结构升级。人形已成为第一大收入来源（2025年占主营51.78%），其销量增长、产品迭代与单价策略是收入弹性的首要变量；能否把需求从科研教育拓展到行业应用，决定增长的持续性。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（2）下游场景拓宽。当前人形收入约73.6%来自科研教育（2025年1—9月口径），商业消费、行业应用占比提升将打开新增量；四足在商业消费与行业应用的占比已相对均衡，可作为场景拓展的参照。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（3）境内需求与品牌外溢。2025年境内收入占比升至56.35%并反超境外，国内人形需求与重大活动品牌曝光带来拉动；境外收入绝对额仍增至73,165.53万元，海外渠道扩张构成第二增长曲线。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4）募投与产能建设（计划，非已实现）。原拟投建智能机器人制造基地，达产规划年产能为人形7.5万台、四足11.5万台——该数字为招股书披露的达产规划，并非当前已实现产能或产量；募投项目的实际投入、建设进度与达产节奏是后续供给端的关键变量，需以定期报告和公告持续验证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（5）资金与研发转化。IPO超募资金与约85%投向研发的募投结构，若能有效转化为模型与产品竞争力，将支撑中长期增长；反之则可能形成费用与折旧压力。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6  主要风险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（1）商业化场景集中风险。人形机器人收入约73.6%来自科研教育、行业应用仅约9.01%（2025年1—9月口径），规模化工业与消费级落地尚早，若科研采购节奏放缓，需求波动会被放大。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（2）价格下行与竞争加剧风险。两类产品平均单价均逐年下行，行业价格战可能进一步压缩单价与毛利率；公司亦将竞争加剧列为增速回落的原因之一。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（3）利润口径扰动风险。股份支付等非经常性项目使归母净利润显著低于扣非（2025年差额-31,254.23万元），后续股权激励仍可能持续扰动表观利润。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（4）费用扩张与扣非承压风险。2026年上半年研发、销售费用快速增加，扣非归母同比下降19.34%、经营现金流同比下降32.53%，若收入增速继续换挡而费用刚性，利润率仍有下行压力。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（5）高估值波动风险。发行价对应市值609.93亿元、媒体口径发行市盈率219.23倍（待核），估值对业绩兑现高度敏感，二级市场波动风险较大。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（6）供应链与外包风险。装配环节存在劳务外包，2023—2025年劳务外包费用由1,161.69万元增至6,802.65万元，产能扩张下对外包与供应链稳定性的依赖上升。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（7）外销与汇率风险。2025年境外收入73,165.53万元、占主营43.65%，海外结算、关税与汇率波动可能影响盈利；此外，2026年上半年数据未经审计、部分2025年分季度及分产品明细为反推或轧差约数，正式定期报告披露后可能修订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7  结论</w:t>
      </w:r>
    </w:p>
    <w:p>
      <w:pPr>
        <w:spacing w:after="0" w:before="0"/>
      </w:pPr>
      <w:r>
        <w:rPr>
          <w:rFonts w:ascii="Arial" w:hAnsi="Arial" w:eastAsia="宋体"/>
          <w:b w:val="0"/>
          <w:i w:val="0"/>
          <w:color w:val="000000"/>
          <w:sz w:val="24"/>
        </w:rPr>
        <w:t>宇树科技在报告期内完成了从四足为主到人形主导的产品切换，并以全栈自研维持了60%左右的主营毛利率和强劲现金流，属于高成长、高研发强度、低杠杆的硬科技企业。但增长斜率正在放缓，2026年进入“收入仍快、扣非承压”的阶段：竞争加剧、价格下行与费用扩张同时出现，人形需求仍集中于科研教育。后续判断的关键，在于人形能否向行业应用规模化渗透、募投研发与制造基地能否按计划转化为产品与产能，以及扣非利润率能否在费用扩张后重新企稳。本报告所有数据均来自上交所披露文件与公司公开资料（详见资料来源），预测与规划已与已实现数据明确区分，不构成投资建议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8  口径与数据说明</w:t>
      </w:r>
    </w:p>
    <w:p>
      <w:pPr>
        <w:spacing w:after="0" w:before="0"/>
        <w:ind w:firstLine="0" w:firstLineChars="0"/>
      </w:pPr>
      <w:r>
        <w:rPr>
          <w:rFonts w:ascii="Arial" w:hAnsi="Arial" w:eastAsia="宋体"/>
          <w:b w:val="0"/>
          <w:i w:val="0"/>
          <w:color w:val="000000"/>
          <w:sz w:val="21"/>
        </w:rPr>
        <w:t>1. 金额除注明外均为人民币万元，比率以小数存储、百分比显示；亿元为万元除以10,000换算。</w:t>
      </w:r>
    </w:p>
    <w:p>
      <w:pPr>
        <w:spacing w:after="0" w:before="0"/>
        <w:ind w:firstLine="0" w:firstLineChars="0"/>
      </w:pPr>
      <w:r>
        <w:rPr>
          <w:rFonts w:ascii="Arial" w:hAnsi="Arial" w:eastAsia="宋体"/>
          <w:b w:val="0"/>
          <w:i w:val="0"/>
          <w:color w:val="000000"/>
          <w:sz w:val="21"/>
        </w:rPr>
        <w:t>2. 后缀A表示已实现（2023—2025年经审计、2026年一季度经审阅、2026年上半年为上市公告书披露且未经审计）；后缀E表示预测（2026年5月业绩预告），预测不作为已发生事实。</w:t>
      </w:r>
    </w:p>
    <w:p>
      <w:pPr>
        <w:spacing w:after="0" w:before="0"/>
        <w:ind w:firstLine="0" w:firstLineChars="0"/>
      </w:pPr>
      <w:r>
        <w:rPr>
          <w:rFonts w:ascii="Arial" w:hAnsi="Arial" w:eastAsia="宋体"/>
          <w:b w:val="0"/>
          <w:i w:val="0"/>
          <w:color w:val="000000"/>
          <w:sz w:val="21"/>
        </w:rPr>
        <w:t>3. 年度数据统一采用招股说明书注册稿/上市保荐书最终口径；申报稿2025年营业收入170,820.87万元等已被修订的数据未采用。</w:t>
      </w:r>
    </w:p>
    <w:p>
      <w:pPr>
        <w:spacing w:after="0" w:before="0"/>
        <w:ind w:firstLine="0" w:firstLineChars="0"/>
      </w:pPr>
      <w:r>
        <w:rPr>
          <w:rFonts w:ascii="Arial" w:hAnsi="Arial" w:eastAsia="宋体"/>
          <w:b w:val="0"/>
          <w:i w:val="0"/>
          <w:color w:val="000000"/>
          <w:sz w:val="21"/>
        </w:rPr>
        <w:t>4. 分产品、分地区占比以主营业务收入为分母；2025年“组件及其他”、2024年境内收入为轧差数；2025年销售费用14,120.93万元为按披露费率反推的约数，发行市盈率219.23倍为媒体口径，均待以原文核验。</w:t>
      </w:r>
    </w:p>
    <w:p>
      <w:pPr>
        <w:spacing w:after="0" w:before="0"/>
        <w:ind w:firstLine="0" w:firstLineChars="0"/>
      </w:pPr>
      <w:r>
        <w:rPr>
          <w:rFonts w:ascii="Arial" w:hAnsi="Arial" w:eastAsia="宋体"/>
          <w:b w:val="0"/>
          <w:i w:val="0"/>
          <w:color w:val="000000"/>
          <w:sz w:val="21"/>
        </w:rPr>
        <w:t>5. 制造基地7.5万台/11.5万台为达产规划，非已实现产能或产量；资料截止日2026年8月30日之后的二级市场行情不纳入。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i w:val="0"/>
          <w:color w:val="000000"/>
          <w:sz w:val="32"/>
        </w:rPr>
        <w:t>9  资料来源</w:t>
      </w:r>
    </w:p>
    <w:p>
      <w:pPr>
        <w:spacing w:after="40"/>
        <w:ind w:firstLine="0"/>
        <w:ind w:firstLineChars="0" w:firstLine="0"/>
      </w:pPr>
      <w:r>
        <w:rPr>
          <w:rFonts w:ascii="Arial" w:hAnsi="Arial" w:eastAsia="宋体"/>
          <w:b w:val="0"/>
          <w:i w:val="0"/>
          <w:color w:val="000000"/>
          <w:sz w:val="21"/>
        </w:rPr>
        <w:t xml:space="preserve">S1  招股说明书（注册稿），上交所科创板项目 auditId=2178（申报稿2026-03-20/上会稿2026-05-25/注册稿2026-06-02）  </w:t>
      </w:r>
      <w:hyperlink r:id="rId10">
        <w:r>
          <w:rPr>
            <w:rFonts w:ascii="Arial" w:hAnsi="Arial" w:eastAsia="宋体"/>
            <w:sz w:val="21"/>
            <w:color w:val="1155CC"/>
            <w:u w:val="single"/>
          </w:rPr>
          <w:t>https://star.sse.com.cn/listing/renewal/ipo/index_listing_detail.shtml?auditId=2178</w:t>
        </w:r>
      </w:hyperlink>
    </w:p>
    <w:p>
      <w:pPr>
        <w:spacing w:after="40"/>
        <w:ind w:firstLine="0"/>
        <w:ind w:firstLineChars="0" w:firstLine="0"/>
      </w:pPr>
      <w:r>
        <w:rPr>
          <w:rFonts w:ascii="Arial" w:hAnsi="Arial" w:eastAsia="宋体"/>
          <w:b w:val="0"/>
          <w:i w:val="0"/>
          <w:color w:val="000000"/>
          <w:sz w:val="21"/>
        </w:rPr>
        <w:t xml:space="preserve">S2  《上市保荐书》（注册稿）002178_20260602_VI1W.pdf，中信证券/上交所  </w:t>
      </w:r>
      <w:hyperlink r:id="rId11">
        <w:r>
          <w:rPr>
            <w:rFonts w:ascii="Arial" w:hAnsi="Arial" w:eastAsia="宋体"/>
            <w:sz w:val="21"/>
            <w:color w:val="1155CC"/>
            <w:u w:val="single"/>
          </w:rPr>
          <w:t>http://static.sse.com.cn/stock/disclosure/announcement/c/202606/002178_20260602_VI1W.pdf</w:t>
        </w:r>
      </w:hyperlink>
    </w:p>
    <w:p>
      <w:pPr>
        <w:spacing w:after="40"/>
        <w:ind w:firstLine="0"/>
        <w:ind w:firstLineChars="0" w:firstLine="0"/>
      </w:pPr>
      <w:r>
        <w:rPr>
          <w:rFonts w:ascii="Arial" w:hAnsi="Arial" w:eastAsia="宋体"/>
          <w:b w:val="0"/>
          <w:i w:val="0"/>
          <w:color w:val="000000"/>
          <w:sz w:val="21"/>
        </w:rPr>
        <w:t xml:space="preserve">S3  《审核中心意见落实函的回复》002178_20260525_V4H0.pdf，发行人/上交所  </w:t>
      </w:r>
      <w:hyperlink r:id="rId12">
        <w:r>
          <w:rPr>
            <w:rFonts w:ascii="Arial" w:hAnsi="Arial" w:eastAsia="宋体"/>
            <w:sz w:val="21"/>
            <w:color w:val="1155CC"/>
            <w:u w:val="single"/>
          </w:rPr>
          <w:t>http://static.sse.com.cn/stock/disclosure/announcement/c/202605/002178_20260525_V4H0.pdf</w:t>
        </w:r>
      </w:hyperlink>
    </w:p>
    <w:p>
      <w:pPr>
        <w:spacing w:after="40"/>
        <w:ind w:firstLine="0"/>
        <w:ind w:firstLineChars="0" w:firstLine="0"/>
      </w:pPr>
      <w:r>
        <w:rPr>
          <w:rFonts w:ascii="Arial" w:hAnsi="Arial" w:eastAsia="宋体"/>
          <w:b w:val="0"/>
          <w:i w:val="0"/>
          <w:color w:val="000000"/>
          <w:sz w:val="21"/>
        </w:rPr>
        <w:t xml:space="preserve">S4  《招股意向书》全文（新浪财经公告库转引），2026-07-31  </w:t>
      </w:r>
      <w:hyperlink r:id="rId13">
        <w:r>
          <w:rPr>
            <w:rFonts w:ascii="Arial" w:hAnsi="Arial" w:eastAsia="宋体"/>
            <w:sz w:val="21"/>
            <w:color w:val="1155CC"/>
            <w:u w:val="single"/>
          </w:rPr>
          <w:t>https://vip.stock.finance.sina.com.cn/corp/view/vCB_AllBulletinDetail.php?CompanyCode=82494861&amp;gather=1&amp;id=12470775</w:t>
        </w:r>
      </w:hyperlink>
    </w:p>
    <w:p>
      <w:pPr>
        <w:spacing w:after="40"/>
        <w:ind w:firstLine="0"/>
        <w:ind w:firstLineChars="0" w:firstLine="0"/>
      </w:pPr>
      <w:r>
        <w:rPr>
          <w:rFonts w:ascii="Arial" w:hAnsi="Arial" w:eastAsia="宋体"/>
          <w:b w:val="0"/>
          <w:i w:val="0"/>
          <w:color w:val="000000"/>
          <w:sz w:val="21"/>
        </w:rPr>
        <w:t xml:space="preserve">S5  《首次公开发行股票科创板上市公告书》，2026-08-17（上海证券报提示性公告）  </w:t>
      </w:r>
      <w:hyperlink r:id="rId14">
        <w:r>
          <w:rPr>
            <w:rFonts w:ascii="Arial" w:hAnsi="Arial" w:eastAsia="宋体"/>
            <w:sz w:val="21"/>
            <w:color w:val="1155CC"/>
            <w:u w:val="single"/>
          </w:rPr>
          <w:t>http://paper.cnstock.com/html/2026-08/18/content_2255912.htm</w:t>
        </w:r>
      </w:hyperlink>
    </w:p>
    <w:p>
      <w:pPr>
        <w:spacing w:after="40"/>
        <w:ind w:firstLine="0"/>
        <w:ind w:firstLineChars="0" w:firstLine="0"/>
      </w:pPr>
      <w:r>
        <w:rPr>
          <w:rFonts w:ascii="Arial" w:hAnsi="Arial" w:eastAsia="宋体"/>
          <w:b w:val="0"/>
          <w:i w:val="0"/>
          <w:color w:val="000000"/>
          <w:sz w:val="21"/>
        </w:rPr>
        <w:t xml:space="preserve">S6  《发行公告》《投资风险特别公告》（巨潮资讯），2026-08-07  </w:t>
      </w:r>
      <w:hyperlink r:id="rId15">
        <w:r>
          <w:rPr>
            <w:rFonts w:ascii="Arial" w:hAnsi="Arial" w:eastAsia="宋体"/>
            <w:sz w:val="21"/>
            <w:color w:val="1155CC"/>
            <w:u w:val="single"/>
          </w:rPr>
          <w:t>https://static.cninfo.com.cn/finalpage/2026-08-07/1225462415.PDF</w:t>
        </w:r>
      </w:hyperlink>
    </w:p>
    <w:p>
      <w:pPr>
        <w:spacing w:after="40"/>
        <w:ind w:firstLine="0"/>
        <w:ind w:firstLineChars="0" w:firstLine="0"/>
      </w:pPr>
      <w:r>
        <w:rPr>
          <w:rFonts w:ascii="Arial" w:hAnsi="Arial" w:eastAsia="宋体"/>
          <w:b w:val="0"/>
          <w:i w:val="0"/>
          <w:color w:val="000000"/>
          <w:sz w:val="21"/>
        </w:rPr>
        <w:t xml:space="preserve">S7  浦银国际《宇树招股书解读：六大维度看全球机器人龙头商业落地》（二手·研报转引）  </w:t>
      </w:r>
      <w:hyperlink r:id="rId16">
        <w:r>
          <w:rPr>
            <w:rFonts w:ascii="Arial" w:hAnsi="Arial" w:eastAsia="宋体"/>
            <w:sz w:val="21"/>
            <w:color w:val="1155CC"/>
            <w:u w:val="single"/>
          </w:rPr>
          <w:t>https://www.spdbi.com</w:t>
        </w:r>
      </w:hyperlink>
    </w:p>
    <w:p>
      <w:pPr>
        <w:spacing w:after="40"/>
        <w:ind w:firstLine="0"/>
        <w:ind w:firstLineChars="0" w:firstLine="0"/>
      </w:pPr>
      <w:r>
        <w:rPr>
          <w:rFonts w:ascii="Arial" w:hAnsi="Arial" w:eastAsia="宋体"/>
          <w:b w:val="0"/>
          <w:i w:val="0"/>
          <w:color w:val="000000"/>
          <w:sz w:val="21"/>
        </w:rPr>
        <w:t xml:space="preserve">S8  兴业证券《全球通用机器人领军企业》研报（二手·研报转引，慧博投研）  </w:t>
      </w:r>
      <w:hyperlink r:id="rId17">
        <w:r>
          <w:rPr>
            <w:rFonts w:ascii="Arial" w:hAnsi="Arial" w:eastAsia="宋体"/>
            <w:sz w:val="21"/>
            <w:color w:val="1155CC"/>
            <w:u w:val="single"/>
          </w:rPr>
          <w:t>https://www.hibor.com.cn</w:t>
        </w:r>
      </w:hyperlink>
    </w:p>
    <w:p>
      <w:pPr>
        <w:spacing w:after="40"/>
        <w:ind w:firstLine="0"/>
        <w:ind w:firstLineChars="0" w:firstLine="0"/>
      </w:pPr>
      <w:r>
        <w:rPr>
          <w:rFonts w:ascii="Arial" w:hAnsi="Arial" w:eastAsia="宋体"/>
          <w:b w:val="0"/>
          <w:i w:val="0"/>
          <w:color w:val="000000"/>
          <w:sz w:val="21"/>
        </w:rPr>
        <w:t xml:space="preserve">S9  国信证券《人形机器人本体系列之宇树科技招股书梳理》（二手·研报转引，慧博投研）  </w:t>
      </w:r>
      <w:hyperlink r:id="rId17">
        <w:r>
          <w:rPr>
            <w:rFonts w:ascii="Arial" w:hAnsi="Arial" w:eastAsia="宋体"/>
            <w:sz w:val="21"/>
            <w:color w:val="1155CC"/>
            <w:u w:val="single"/>
          </w:rPr>
          <w:t>https://www.hibor.com.cn</w:t>
        </w:r>
      </w:hyperlink>
    </w:p>
    <w:p>
      <w:pPr>
        <w:spacing w:after="40"/>
        <w:ind w:firstLine="0"/>
        <w:ind w:firstLineChars="0" w:firstLine="0"/>
      </w:pPr>
      <w:r>
        <w:rPr>
          <w:rFonts w:ascii="Arial" w:hAnsi="Arial" w:eastAsia="宋体"/>
          <w:b w:val="0"/>
          <w:i w:val="0"/>
          <w:color w:val="000000"/>
          <w:sz w:val="21"/>
        </w:rPr>
        <w:t xml:space="preserve">S10 东方财富/证券时报·数据中心 688836 财务指标（二手·数据聚合，交叉核对）  </w:t>
      </w:r>
      <w:hyperlink r:id="rId18">
        <w:r>
          <w:rPr>
            <w:rFonts w:ascii="Arial" w:hAnsi="Arial" w:eastAsia="宋体"/>
            <w:sz w:val="21"/>
            <w:color w:val="1155CC"/>
            <w:u w:val="single"/>
          </w:rPr>
          <w:t>https://data.eastmoney.com/stockdata/688836.html</w:t>
        </w:r>
      </w:hyperlink>
    </w:p>
    <w:p>
      <w:pPr>
        <w:spacing w:after="40"/>
        <w:ind w:firstLine="0"/>
        <w:ind w:firstLineChars="0" w:firstLine="0"/>
      </w:pPr>
      <w:r>
        <w:rPr>
          <w:rFonts w:ascii="Arial" w:hAnsi="Arial" w:eastAsia="宋体"/>
          <w:b w:val="0"/>
          <w:i w:val="0"/>
          <w:color w:val="000000"/>
          <w:sz w:val="21"/>
        </w:rPr>
        <w:t xml:space="preserve">S11 宇树科技官方网站与官方公开资料  </w:t>
      </w:r>
      <w:hyperlink r:id="rId19">
        <w:r>
          <w:rPr>
            <w:rFonts w:ascii="Arial" w:hAnsi="Arial" w:eastAsia="宋体"/>
            <w:sz w:val="21"/>
            <w:color w:val="1155CC"/>
            <w:u w:val="single"/>
          </w:rPr>
          <w:t>https://www.unitree.com</w:t>
        </w:r>
      </w:hyperlink>
    </w:p>
    <w:p>
      <w:pPr>
        <w:spacing w:after="0" w:before="80"/>
        <w:ind w:firstLine="0" w:firstLineChars="0"/>
      </w:pPr>
      <w:r>
        <w:rPr>
          <w:rFonts w:ascii="Arial" w:hAnsi="Arial" w:eastAsia="宋体"/>
          <w:b w:val="0"/>
          <w:i w:val="0"/>
          <w:color w:val="000000"/>
          <w:sz w:val="21"/>
        </w:rPr>
        <w:t>说明：S7—S10为二手转引/数据聚合，仅用于交叉核对与补充明细；如与S1—S5一手披露不一致，以一手披露为准。配套数据底稿见《宇树科技经营财务分析底稿_截至20260830.xlsx》。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i w:val="0"/>
        <w:color w:val="00000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 w:firstLine="480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40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40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tar.sse.com.cn/listing/renewal/ipo/index_listing_detail.shtml?auditId=2178" TargetMode="External"/><Relationship Id="rId11" Type="http://schemas.openxmlformats.org/officeDocument/2006/relationships/hyperlink" Target="http://static.sse.com.cn/stock/disclosure/announcement/c/202606/002178_20260602_VI1W.pdf" TargetMode="External"/><Relationship Id="rId12" Type="http://schemas.openxmlformats.org/officeDocument/2006/relationships/hyperlink" Target="http://static.sse.com.cn/stock/disclosure/announcement/c/202605/002178_20260525_V4H0.pdf" TargetMode="External"/><Relationship Id="rId13" Type="http://schemas.openxmlformats.org/officeDocument/2006/relationships/hyperlink" Target="https://vip.stock.finance.sina.com.cn/corp/view/vCB_AllBulletinDetail.php?CompanyCode=82494861&amp;gather=1&amp;id=12470775" TargetMode="External"/><Relationship Id="rId14" Type="http://schemas.openxmlformats.org/officeDocument/2006/relationships/hyperlink" Target="http://paper.cnstock.com/html/2026-08/18/content_2255912.htm" TargetMode="External"/><Relationship Id="rId15" Type="http://schemas.openxmlformats.org/officeDocument/2006/relationships/hyperlink" Target="https://static.cninfo.com.cn/finalpage/2026-08-07/1225462415.PDF" TargetMode="External"/><Relationship Id="rId16" Type="http://schemas.openxmlformats.org/officeDocument/2006/relationships/hyperlink" Target="https://www.spdbi.com" TargetMode="External"/><Relationship Id="rId17" Type="http://schemas.openxmlformats.org/officeDocument/2006/relationships/hyperlink" Target="https://www.hibor.com.cn" TargetMode="External"/><Relationship Id="rId18" Type="http://schemas.openxmlformats.org/officeDocument/2006/relationships/hyperlink" Target="https://data.eastmoney.com/stockdata/688836.html" TargetMode="External"/><Relationship Id="rId19" Type="http://schemas.openxmlformats.org/officeDocument/2006/relationships/hyperlink" Target="https://www.unitre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