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SimHei" w:cs="SimHei" w:eastAsia="SimHei" w:hAnsi="SimHei"/>
          <w:b/>
          <w:bCs/>
          <w:sz w:val="32"/>
          <w:szCs w:val="32"/>
        </w:rPr>
        <w:t xml:space="preserve">宇树科技股份有限公司（688836.SH）公司研究报告</w:t>
      </w:r>
    </w:p>
    <w:p>
      <w:pPr>
        <w:spacing w:after="80"/>
        <w:jc w:val="center"/>
      </w:pPr>
      <w:r>
        <w:rPr>
          <w:rFonts w:ascii="SimHei" w:cs="SimHei" w:eastAsia="SimHei" w:hAnsi="SimHei"/>
          <w:sz w:val="24"/>
          <w:szCs w:val="24"/>
        </w:rPr>
        <w:t xml:space="preserve">——人形机器人第一股：高增长、高毛利、高投入的成长账本</w:t>
      </w:r>
    </w:p>
    <w:p>
      <w:pPr>
        <w:spacing w:after="240"/>
        <w:jc w:val="center"/>
      </w:pPr>
      <w:r>
        <w:rPr>
          <w:color w:val="666666"/>
          <w:sz w:val="18"/>
          <w:szCs w:val="18"/>
        </w:rPr>
        <w:t xml:space="preserve">资料截止：2026年8月30日　|　数据口径：上交所招股说明书、上市公告书及公司官方公开资料</w:t>
      </w:r>
    </w:p>
    <w:p>
      <w:pPr>
        <w:spacing w:after="120" w:line="320"/>
        <w:ind w:firstLine="420"/>
      </w:pPr>
      <w:r>
        <w:rPr>
          <w:rFonts w:ascii="SimSun" w:cs="SimSun" w:eastAsia="SimSun" w:hAnsi="SimSun"/>
        </w:rPr>
        <w:t xml:space="preserve">重要说明：本报告全部数字均取自上海证券交易所披露的《首次公开发行股票科创板上市公告书》（2026-08-18）、《首次公开发行股票并在科创板上市招股说明书》（上会稿）及其审计/审阅报告，并与配套《宇树科技经营与财务分析底稿.xlsx》交叉核验。其中2023-2025年度数据经审计，2026年1-3月数据经审阅，2026年1-6月数据未经审计；招股书所载2026年1-6月“预计”数据为管理层估计、不构成盈利预测，本报告均单独标注，不作为已发生事实引用。除特别说明外，金额单位为人民币万元。</w:t>
      </w:r>
    </w:p>
    <w:p>
      <w:pPr>
        <w:pStyle w:val="Heading1"/>
      </w:pPr>
      <w:r>
        <w:t xml:space="preserve">一、公司概览与发行情况</w:t>
      </w:r>
    </w:p>
    <w:p>
      <w:pPr>
        <w:spacing w:after="120" w:line="320"/>
        <w:ind w:firstLine="420"/>
      </w:pPr>
      <w:r>
        <w:rPr>
          <w:rFonts w:ascii="SimSun" w:cs="SimSun" w:eastAsia="SimSun" w:hAnsi="SimSun"/>
        </w:rPr>
        <w:t xml:space="preserve">宇树科技成立于2016年8月（有限公司设立日），2025年5月整体变更为股份有限公司，注册地为浙江省杭州市滨江区，董事长、总经理兼首席技术官为创始人王兴兴。公司主营业务为高性能通用人形机器人、四足机器人、机器人组件及具身智能模型的研发、生产和销售，行业分类为C34通用设备制造业。</w:t>
      </w:r>
    </w:p>
    <w:p>
      <w:pPr>
        <w:spacing w:after="120" w:line="320"/>
        <w:ind w:firstLine="420"/>
      </w:pPr>
      <w:r>
        <w:rPr>
          <w:rFonts w:ascii="SimSun" w:cs="SimSun" w:eastAsia="SimSun" w:hAnsi="SimSun"/>
        </w:rPr>
        <w:t xml:space="preserve">公司于2026年8月19日在上交所科创板上市，证券代码688836。因设置特别表决权（每股特别表决权股份10票），公司选择的上市标准为“预计市值不低于人民币100亿元”。本次发行新股4,044.6434万股，占发行后总股本的10%，发行后总股本40,446.4340万股；发行价格150.80元/股，募集资金总额609,932.22万元、净额591,714.92万元，对应发行后市值约609.93亿元；发行市盈率219.23倍（按扣非前后孰低口径）、发行市净率7.16倍。</w:t>
      </w:r>
    </w:p>
    <w:p>
      <w:pPr>
        <w:spacing w:after="120" w:line="320"/>
        <w:ind w:firstLine="420"/>
      </w:pPr>
      <w:r>
        <w:rPr>
          <w:rFonts w:ascii="SimSun" w:cs="SimSun" w:eastAsia="SimSun" w:hAnsi="SimSun"/>
        </w:rPr>
        <w:t xml:space="preserve">本次发行战略配售占发行数量的20%，投资者包括全国社会保障基金理事会、杭州深度求索（锁定期36个月）、中国石油昆仑资本、南网产融、天翼资本、上海启善（腾讯关联）、保荐人跟投中证投资及公司员工资管计划等。股权结构方面，发行前王兴兴直接持股23.8216%，结合员工持股平台上海宇翼合计控制34.7630%股份、表决权比例68.7816%；发行后其表决权比例降至不超过65.3090%，控制权高度集中。</w:t>
      </w:r>
    </w:p>
    <w:p>
      <w:pPr>
        <w:pStyle w:val="Heading1"/>
      </w:pPr>
      <w:r>
        <w:t xml:space="preserve">二、主营业务与产品结构</w:t>
      </w:r>
    </w:p>
    <w:p>
      <w:pPr>
        <w:spacing w:after="120" w:line="320"/>
        <w:ind w:firstLine="420"/>
      </w:pPr>
      <w:r>
        <w:rPr>
          <w:rFonts w:ascii="SimSun" w:cs="SimSun" w:eastAsia="SimSun" w:hAnsi="SimSun"/>
        </w:rPr>
        <w:t xml:space="preserve">公司产品矩阵覆盖四足机器人（Go2、B2、A2等）、人形机器人（H1、G1、H2、R1等）、机器人组件（机械臂、4D激光雷达、高算力模组等关键部组件）及具身智能模型，坚持整机与核心部组件全栈自研。产品同时覆盖科研、行业（巡检勘测、消防救援、公共服务等）与消费应用领域，销售以线下为主（2025年线下收入占比89.28%，其中直销51.10%、经销38.18%），线上占比10.72%；报告期各期境外收入占比均超过40%，其中美国市场收入占比分别为18.39%、19.54%和13.30%。前五大客户收入占比分别为12.69%、12.45%和12.08%，客户集中度低。</w:t>
      </w:r>
    </w:p>
    <w:p>
      <w:pPr>
        <w:spacing w:after="120" w:line="320"/>
        <w:ind w:firstLine="420"/>
      </w:pPr>
      <w:r>
        <w:rPr>
          <w:rFonts w:ascii="SimSun" w:cs="SimSun" w:eastAsia="SimSun" w:hAnsi="SimSun"/>
        </w:rPr>
        <w:t xml:space="preserve">报告期内主营业务收入构成如下表，最显著的变化是人形机器人于2025年超越四足机器人成为第一大收入来源：</w:t>
      </w:r>
    </w:p>
    <w:p>
      <w:pPr>
        <w:spacing w:after="60"/>
      </w:pPr>
      <w:r>
        <w:rPr>
          <w:rFonts w:ascii="SimHei" w:cs="SimHei" w:eastAsia="SimHei" w:hAnsi="SimHei"/>
          <w:b/>
          <w:bCs/>
          <w:sz w:val="18"/>
          <w:szCs w:val="18"/>
        </w:rPr>
        <w:t xml:space="preserve">表1　主营业务收入构成（万元）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8"/>
        <w:gridCol w:w="1233"/>
        <w:gridCol w:w="1233"/>
        <w:gridCol w:w="1233"/>
        <w:gridCol w:w="1233"/>
        <w:gridCol w:w="1233"/>
        <w:gridCol w:w="1233"/>
      </w:tblGrid>
      <w:tr>
        <w:trPr>
          <w:tblHeader/>
        </w:trPr>
        <w:tc>
          <w:tcPr>
            <w:tcW w:type="dxa" w:w="162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SimSun" w:cs="SimSun" w:eastAsia="SimSun" w:hAnsi="SimSun"/>
                <w:b/>
                <w:bCs/>
                <w:sz w:val="18"/>
                <w:szCs w:val="18"/>
              </w:rPr>
              <w:t xml:space="preserve">产品/万元</w:t>
            </w:r>
          </w:p>
        </w:tc>
        <w:tc>
          <w:tcPr>
            <w:tcW w:type="dxa" w:w="123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right"/>
            </w:pPr>
            <w:r>
              <w:rPr>
                <w:rFonts w:ascii="SimSun" w:cs="SimSun" w:eastAsia="SimSun" w:hAnsi="SimSun"/>
                <w:b/>
                <w:bCs/>
                <w:sz w:val="18"/>
                <w:szCs w:val="18"/>
              </w:rPr>
              <w:t xml:space="preserve">2023收入</w:t>
            </w:r>
          </w:p>
        </w:tc>
        <w:tc>
          <w:tcPr>
            <w:tcW w:type="dxa" w:w="123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right"/>
            </w:pPr>
            <w:r>
              <w:rPr>
                <w:rFonts w:ascii="SimSun" w:cs="SimSun" w:eastAsia="SimSun" w:hAnsi="SimSun"/>
                <w:b/>
                <w:bCs/>
                <w:sz w:val="18"/>
                <w:szCs w:val="18"/>
              </w:rPr>
              <w:t xml:space="preserve">占比</w:t>
            </w:r>
          </w:p>
        </w:tc>
        <w:tc>
          <w:tcPr>
            <w:tcW w:type="dxa" w:w="123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right"/>
            </w:pPr>
            <w:r>
              <w:rPr>
                <w:rFonts w:ascii="SimSun" w:cs="SimSun" w:eastAsia="SimSun" w:hAnsi="SimSun"/>
                <w:b/>
                <w:bCs/>
                <w:sz w:val="18"/>
                <w:szCs w:val="18"/>
              </w:rPr>
              <w:t xml:space="preserve">2024收入</w:t>
            </w:r>
          </w:p>
        </w:tc>
        <w:tc>
          <w:tcPr>
            <w:tcW w:type="dxa" w:w="123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right"/>
            </w:pPr>
            <w:r>
              <w:rPr>
                <w:rFonts w:ascii="SimSun" w:cs="SimSun" w:eastAsia="SimSun" w:hAnsi="SimSun"/>
                <w:b/>
                <w:bCs/>
                <w:sz w:val="18"/>
                <w:szCs w:val="18"/>
              </w:rPr>
              <w:t xml:space="preserve">占比</w:t>
            </w:r>
          </w:p>
        </w:tc>
        <w:tc>
          <w:tcPr>
            <w:tcW w:type="dxa" w:w="123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right"/>
            </w:pPr>
            <w:r>
              <w:rPr>
                <w:rFonts w:ascii="SimSun" w:cs="SimSun" w:eastAsia="SimSun" w:hAnsi="SimSun"/>
                <w:b/>
                <w:bCs/>
                <w:sz w:val="18"/>
                <w:szCs w:val="18"/>
              </w:rPr>
              <w:t xml:space="preserve">2025收入</w:t>
            </w:r>
          </w:p>
        </w:tc>
        <w:tc>
          <w:tcPr>
            <w:tcW w:type="dxa" w:w="123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right"/>
            </w:pPr>
            <w:r>
              <w:rPr>
                <w:rFonts w:ascii="SimSun" w:cs="SimSun" w:eastAsia="SimSun" w:hAnsi="SimSun"/>
                <w:b/>
                <w:bCs/>
                <w:sz w:val="18"/>
                <w:szCs w:val="18"/>
              </w:rPr>
              <w:t xml:space="preserve">占比</w:t>
            </w:r>
          </w:p>
        </w:tc>
      </w:tr>
      <w:tr>
        <w:tc>
          <w:tcPr>
            <w:tcW w:type="dxa" w:w="16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SimSun" w:cs="SimSun" w:eastAsia="SimSun" w:hAnsi="SimSun"/>
                <w:b w:val="false"/>
                <w:bCs w:val="false"/>
                <w:sz w:val="18"/>
                <w:szCs w:val="18"/>
              </w:rPr>
              <w:t xml:space="preserve">四足机器人</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11,938.09</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75.78%</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23,054.37</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59.47%</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69,762.56</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41.62%</w:t>
            </w:r>
          </w:p>
        </w:tc>
      </w:tr>
      <w:tr>
        <w:tc>
          <w:tcPr>
            <w:tcW w:type="dxa" w:w="16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SimSun" w:cs="SimSun" w:eastAsia="SimSun" w:hAnsi="SimSun"/>
                <w:b w:val="false"/>
                <w:bCs w:val="false"/>
                <w:sz w:val="18"/>
                <w:szCs w:val="18"/>
              </w:rPr>
              <w:t xml:space="preserve">人形机器人</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296.71</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1.88%</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10,729.76</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27.68%</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86,783.19</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51.78%</w:t>
            </w:r>
          </w:p>
        </w:tc>
      </w:tr>
      <w:tr>
        <w:tc>
          <w:tcPr>
            <w:tcW w:type="dxa" w:w="16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SimSun" w:cs="SimSun" w:eastAsia="SimSun" w:hAnsi="SimSun"/>
                <w:b w:val="false"/>
                <w:bCs w:val="false"/>
                <w:sz w:val="18"/>
                <w:szCs w:val="18"/>
              </w:rPr>
              <w:t xml:space="preserve">机器人组件</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2,692.34</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17.09%</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4,453.82</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11.49%</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10,373.67</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6.19%</w:t>
            </w:r>
          </w:p>
        </w:tc>
      </w:tr>
      <w:tr>
        <w:tc>
          <w:tcPr>
            <w:tcW w:type="dxa" w:w="16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SimSun" w:cs="SimSun" w:eastAsia="SimSun" w:hAnsi="SimSun"/>
                <w:b w:val="false"/>
                <w:bCs w:val="false"/>
                <w:sz w:val="18"/>
                <w:szCs w:val="18"/>
              </w:rPr>
              <w:t xml:space="preserve">其他</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826.51</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5.25%</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529.33</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1.37%</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691.67</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0.41%</w:t>
            </w:r>
          </w:p>
        </w:tc>
      </w:tr>
      <w:tr>
        <w:tc>
          <w:tcPr>
            <w:tcW w:type="dxa" w:w="1628"/>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SimSun" w:cs="SimSun" w:eastAsia="SimSun" w:hAnsi="SimSun"/>
                <w:b/>
                <w:bCs/>
                <w:sz w:val="18"/>
                <w:szCs w:val="18"/>
              </w:rPr>
              <w:t xml:space="preserve">合计</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bCs/>
                <w:sz w:val="18"/>
                <w:szCs w:val="18"/>
              </w:rPr>
              <w:t xml:space="preserve">15,753.65</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bCs/>
                <w:sz w:val="18"/>
                <w:szCs w:val="18"/>
              </w:rPr>
              <w:t xml:space="preserve">100%</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bCs/>
                <w:sz w:val="18"/>
                <w:szCs w:val="18"/>
              </w:rPr>
              <w:t xml:space="preserve">38,767.28</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bCs/>
                <w:sz w:val="18"/>
                <w:szCs w:val="18"/>
              </w:rPr>
              <w:t xml:space="preserve">100%</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bCs/>
                <w:sz w:val="18"/>
                <w:szCs w:val="18"/>
              </w:rPr>
              <w:t xml:space="preserve">167,611.09</w:t>
            </w:r>
          </w:p>
        </w:tc>
        <w:tc>
          <w:tcPr>
            <w:tcW w:type="dxa" w:w="1233"/>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bCs/>
                <w:sz w:val="18"/>
                <w:szCs w:val="18"/>
              </w:rPr>
              <w:t xml:space="preserve">100%</w:t>
            </w:r>
          </w:p>
        </w:tc>
      </w:tr>
    </w:tbl>
    <w:p>
      <w:pPr>
        <w:spacing w:after="120" w:before="120"/>
      </w:pPr>
      <w:r>
        <w:rPr>
          <w:color w:val="666666"/>
          <w:sz w:val="16"/>
          <w:szCs w:val="16"/>
        </w:rPr>
        <w:t xml:space="preserve">资料来源：招股说明书（上会稿）。</w:t>
      </w:r>
    </w:p>
    <w:p>
      <w:pPr>
        <w:spacing w:after="120" w:line="320"/>
        <w:ind w:firstLine="420"/>
      </w:pPr>
      <w:r>
        <w:rPr>
          <w:rFonts w:ascii="SimSun" w:cs="SimSun" w:eastAsia="SimSun" w:hAnsi="SimSun"/>
        </w:rPr>
        <w:t xml:space="preserve">量价方面：四足机器人销量由2023年的3,121台增至2025年的23,037台，平均单价由3.83万元/台降至3.03万元/台，报告期累计销量超33,000台；人形机器人销量由2023年的5台（初代H1）增至2024年的412台、2025年的5,215台，2025年出货量5,511台（披露为全球第一），平均单价由59.34万元/台降至16.64万元/台，降价主要因中型机型G1成为主力及销售价格主动下调。“以价换量”是两条产品线共同的商业化路径。</w:t>
      </w:r>
    </w:p>
    <w:p>
      <w:pPr>
        <w:pStyle w:val="Heading1"/>
      </w:pPr>
      <w:r>
        <w:t xml:space="preserve">三、收入与盈利变化</w:t>
      </w:r>
    </w:p>
    <w:p>
      <w:pPr>
        <w:spacing w:after="60"/>
      </w:pPr>
      <w:r>
        <w:rPr>
          <w:rFonts w:ascii="SimHei" w:cs="SimHei" w:eastAsia="SimHei" w:hAnsi="SimHei"/>
          <w:b/>
          <w:bCs/>
          <w:sz w:val="18"/>
          <w:szCs w:val="18"/>
        </w:rPr>
        <w:t xml:space="preserve">表2　主要财务指标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2100"/>
        <w:gridCol w:w="2100"/>
        <w:gridCol w:w="2100"/>
      </w:tblGrid>
      <w:tr>
        <w:trPr>
          <w:tblHeader/>
        </w:trPr>
        <w:tc>
          <w:tcPr>
            <w:tcW w:type="dxa" w:w="27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left"/>
            </w:pPr>
            <w:r>
              <w:rPr>
                <w:rFonts w:ascii="SimSun" w:cs="SimSun" w:eastAsia="SimSun" w:hAnsi="SimSun"/>
                <w:b/>
                <w:bCs/>
                <w:sz w:val="18"/>
                <w:szCs w:val="18"/>
              </w:rPr>
              <w:t xml:space="preserve">指标</w:t>
            </w:r>
          </w:p>
        </w:tc>
        <w:tc>
          <w:tcPr>
            <w:tcW w:type="dxa" w:w="2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right"/>
            </w:pPr>
            <w:r>
              <w:rPr>
                <w:rFonts w:ascii="SimSun" w:cs="SimSun" w:eastAsia="SimSun" w:hAnsi="SimSun"/>
                <w:b/>
                <w:bCs/>
                <w:sz w:val="18"/>
                <w:szCs w:val="18"/>
              </w:rPr>
              <w:t xml:space="preserve">2023</w:t>
            </w:r>
          </w:p>
        </w:tc>
        <w:tc>
          <w:tcPr>
            <w:tcW w:type="dxa" w:w="2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right"/>
            </w:pPr>
            <w:r>
              <w:rPr>
                <w:rFonts w:ascii="SimSun" w:cs="SimSun" w:eastAsia="SimSun" w:hAnsi="SimSun"/>
                <w:b/>
                <w:bCs/>
                <w:sz w:val="18"/>
                <w:szCs w:val="18"/>
              </w:rPr>
              <w:t xml:space="preserve">2024</w:t>
            </w:r>
          </w:p>
        </w:tc>
        <w:tc>
          <w:tcPr>
            <w:tcW w:type="dxa" w:w="2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jc w:val="right"/>
            </w:pPr>
            <w:r>
              <w:rPr>
                <w:rFonts w:ascii="SimSun" w:cs="SimSun" w:eastAsia="SimSun" w:hAnsi="SimSun"/>
                <w:b/>
                <w:bCs/>
                <w:sz w:val="18"/>
                <w:szCs w:val="18"/>
              </w:rPr>
              <w:t xml:space="preserve">2025</w:t>
            </w:r>
          </w:p>
        </w:tc>
      </w:tr>
      <w:tr>
        <w:tc>
          <w:tcPr>
            <w:tcW w:type="dxa" w:w="27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SimSun" w:cs="SimSun" w:eastAsia="SimSun" w:hAnsi="SimSun"/>
                <w:b w:val="false"/>
                <w:bCs w:val="false"/>
                <w:sz w:val="18"/>
                <w:szCs w:val="18"/>
              </w:rPr>
              <w:t xml:space="preserve">营业收入（万元）</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15,913.44</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39,277.07</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169,926.93</w:t>
            </w:r>
          </w:p>
        </w:tc>
      </w:tr>
      <w:tr>
        <w:tc>
          <w:tcPr>
            <w:tcW w:type="dxa" w:w="27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SimSun" w:cs="SimSun" w:eastAsia="SimSun" w:hAnsi="SimSun"/>
                <w:b w:val="false"/>
                <w:bCs w:val="false"/>
                <w:sz w:val="18"/>
                <w:szCs w:val="18"/>
              </w:rPr>
              <w:t xml:space="preserve">归母净利润（万元）</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-1,114.51</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9,547.47</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27,821.05</w:t>
            </w:r>
          </w:p>
        </w:tc>
      </w:tr>
      <w:tr>
        <w:tc>
          <w:tcPr>
            <w:tcW w:type="dxa" w:w="27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SimSun" w:cs="SimSun" w:eastAsia="SimSun" w:hAnsi="SimSun"/>
                <w:b w:val="false"/>
                <w:bCs w:val="false"/>
                <w:sz w:val="18"/>
                <w:szCs w:val="18"/>
              </w:rPr>
              <w:t xml:space="preserve">扣非归母净利润（万元）</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-1,801.91</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7,847.65</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59,075.28</w:t>
            </w:r>
          </w:p>
        </w:tc>
      </w:tr>
      <w:tr>
        <w:tc>
          <w:tcPr>
            <w:tcW w:type="dxa" w:w="27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SimSun" w:cs="SimSun" w:eastAsia="SimSun" w:hAnsi="SimSun"/>
                <w:b w:val="false"/>
                <w:bCs w:val="false"/>
                <w:sz w:val="18"/>
                <w:szCs w:val="18"/>
              </w:rPr>
              <w:t xml:space="preserve">主营业务毛利率</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44.22%</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56.74%</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60.13%</w:t>
            </w:r>
          </w:p>
        </w:tc>
      </w:tr>
      <w:tr>
        <w:tc>
          <w:tcPr>
            <w:tcW w:type="dxa" w:w="27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SimSun" w:cs="SimSun" w:eastAsia="SimSun" w:hAnsi="SimSun"/>
                <w:b w:val="false"/>
                <w:bCs w:val="false"/>
                <w:sz w:val="18"/>
                <w:szCs w:val="18"/>
              </w:rPr>
              <w:t xml:space="preserve">研发费用（万元）</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4,995.18</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7,001.70</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14,496.56</w:t>
            </w:r>
          </w:p>
        </w:tc>
      </w:tr>
      <w:tr>
        <w:tc>
          <w:tcPr>
            <w:tcW w:type="dxa" w:w="27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SimSun" w:cs="SimSun" w:eastAsia="SimSun" w:hAnsi="SimSun"/>
                <w:b w:val="false"/>
                <w:bCs w:val="false"/>
                <w:sz w:val="18"/>
                <w:szCs w:val="18"/>
              </w:rPr>
              <w:t xml:space="preserve">经营活动现金流净额（万元）</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494.25</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19,239.13</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66,998.18</w:t>
            </w:r>
          </w:p>
        </w:tc>
      </w:tr>
      <w:tr>
        <w:tc>
          <w:tcPr>
            <w:tcW w:type="dxa" w:w="27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SimSun" w:cs="SimSun" w:eastAsia="SimSun" w:hAnsi="SimSun"/>
                <w:b w:val="false"/>
                <w:bCs w:val="false"/>
                <w:sz w:val="18"/>
                <w:szCs w:val="18"/>
              </w:rPr>
              <w:t xml:space="preserve">扣非加权ROE</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-5.92%</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8.60%</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SimSun" w:cs="SimSun" w:eastAsia="SimSun" w:hAnsi="SimSun"/>
                <w:b w:val="false"/>
                <w:bCs w:val="false"/>
                <w:sz w:val="18"/>
                <w:szCs w:val="18"/>
              </w:rPr>
              <w:t xml:space="preserve">28.70%</w:t>
            </w:r>
          </w:p>
        </w:tc>
      </w:tr>
    </w:tbl>
    <w:p>
      <w:pPr>
        <w:spacing w:after="120" w:before="120"/>
      </w:pPr>
      <w:r>
        <w:rPr>
          <w:color w:val="666666"/>
          <w:sz w:val="16"/>
          <w:szCs w:val="16"/>
        </w:rPr>
        <w:t xml:space="preserve">资料来源：招股说明书（上会稿）、上市公告书；2023-2025年经审计。</w:t>
      </w:r>
    </w:p>
    <w:p>
      <w:pPr>
        <w:spacing w:after="120" w:line="320"/>
        <w:ind w:firstLine="420"/>
      </w:pPr>
      <w:r>
        <w:rPr>
          <w:rFonts w:ascii="SimSun" w:cs="SimSun" w:eastAsia="SimSun" w:hAnsi="SimSun"/>
        </w:rPr>
        <w:t xml:space="preserve">成长性：2023-2025年营业收入由15,913.44万元增至169,926.93万元，复合增长率226.78%；2024年、2025年同比分别增长约146.8%、332.6%（按底稿公式计算）。扣非归母净利润由-1,801.91万元增至59,075.28万元，2024年起扭亏。2025年归母净利润27,821.05万元与扣非口径差异较大，主因公司对股权激励平台上海宇翼增资确认股份支付费用34,906.55万元（非经常性损益、计入管理费用、不涉及现金流出），分析盈利能力应以扣非口径为主。</w:t>
      </w:r>
    </w:p>
    <w:p>
      <w:pPr>
        <w:spacing w:after="120" w:line="320"/>
        <w:ind w:firstLine="420"/>
      </w:pPr>
      <w:r>
        <w:rPr>
          <w:rFonts w:ascii="SimSun" w:cs="SimSun" w:eastAsia="SimSun" w:hAnsi="SimSun"/>
        </w:rPr>
        <w:t xml:space="preserve">盈利能力：主营业务毛利率由44.22%提升至60.13%，2025年综合毛利率60.44%，高于同行业可比公司（优必选37.67%、越疆46.49%、云深处52.83%、乐聚智能40.78%，平均44.44%）。分产品看，四足机器人毛利率43.71%→51.65%→56.72%，受益于工艺降本、采购降本及行业级产品B2/B2-W占比提升；人形机器人毛利率87.67%→69.26%→63.18%，回落主因毛利率较低的G1成为主力机型及公司主动降价。</w:t>
      </w:r>
    </w:p>
    <w:p>
      <w:pPr>
        <w:spacing w:after="120" w:line="320"/>
        <w:ind w:firstLine="420"/>
      </w:pPr>
      <w:r>
        <w:rPr>
          <w:rFonts w:ascii="SimSun" w:cs="SimSun" w:eastAsia="SimSun" w:hAnsi="SimSun"/>
        </w:rPr>
        <w:t xml:space="preserve">费用与现金流：销售费用率由23.70%降至8.31%，显著低于同行业平均（2025年行业平均23.88%），规模效应突出；研发费用率由31.39%降至8.53%。2025年经营活动现金流净额66,998.18万元，约为扣非净利润的1.13倍（按底稿计算），盈利现金含量高。</w:t>
      </w:r>
    </w:p>
    <w:p>
      <w:pPr>
        <w:spacing w:after="120" w:line="320"/>
        <w:ind w:firstLine="420"/>
      </w:pPr>
      <w:r>
        <w:rPr>
          <w:rFonts w:ascii="SimSun" w:cs="SimSun" w:eastAsia="SimSun" w:hAnsi="SimSun"/>
        </w:rPr>
        <w:t xml:space="preserve">审计截止日后：2026年1-3月（经审阅）营业收入42,284.05万元、同比+68.49%，扣非归母净利润4,025.36万元、同比-52.55%；2026年1-6月（未经审计）营业收入115,224.56万元、同比+48.54%，归母净利润27,399.99万元（上年同期-3,202.45万元，含大额股份支付），扣非归母净利润24,393.03万元、同比-19.34%，经营活动现金流净额23,154.53万元、同比-32.53%。增速放缓与扣非利润下滑主因研发与销售费用（含2026年央视春晚等品牌推广）同比大幅增加。按底稿以未审计营业成本推算，2026年上半年综合毛利率约56.0%，低于2025年全年水平，毛利率边际承压。</w:t>
      </w:r>
    </w:p>
    <w:p>
      <w:pPr>
        <w:spacing w:after="120" w:line="320"/>
        <w:ind w:firstLine="420"/>
      </w:pPr>
      <w:r>
        <w:rPr>
          <w:rFonts w:ascii="SimSun" w:cs="SimSun" w:eastAsia="SimSun" w:hAnsi="SimSun"/>
        </w:rPr>
        <w:t xml:space="preserve">预测对照：招股书曾预计2026年1-6月营业收入105,200-112,800万元、扣非归母净利润23,600-28,300万元（管理层估计，不构成盈利预测）。上市公告书披露的实际数中，营业收入高于预计上限，扣非归母净利润落于预计区间内。</w:t>
      </w:r>
    </w:p>
    <w:p>
      <w:pPr>
        <w:spacing w:after="120" w:line="320"/>
        <w:ind w:firstLine="420"/>
      </w:pPr>
      <w:r>
        <w:rPr>
          <w:rFonts w:ascii="SimSun" w:cs="SimSun" w:eastAsia="SimSun" w:hAnsi="SimSun"/>
        </w:rPr>
        <w:t xml:space="preserve">资产负债：截至2026年6月30日，公司资产总额384,546.94万元，归母所有者权益287,998.48万元，合并资产负债率25.11%，货币资金约149,201.36万元，叠加募资净额591,714.92万元，资产负债表稳健、资金储备充裕。</w:t>
      </w:r>
    </w:p>
    <w:p>
      <w:pPr>
        <w:pStyle w:val="Heading1"/>
      </w:pPr>
      <w:r>
        <w:t xml:space="preserve">四、研发投入</w:t>
      </w:r>
    </w:p>
    <w:p>
      <w:pPr>
        <w:spacing w:after="120" w:line="320"/>
        <w:ind w:firstLine="420"/>
      </w:pPr>
      <w:r>
        <w:rPr>
          <w:rFonts w:ascii="SimSun" w:cs="SimSun" w:eastAsia="SimSun" w:hAnsi="SimSun"/>
        </w:rPr>
        <w:t xml:space="preserve">报告期各期研发费用分别为4,995.18万元、7,001.70万元、14,496.56万元，累计26,493.44万元；研发投入占营业收入比例分别为31.39%、17.83%、8.53%，比例下降主因收入高速放大，绝对额保持快速增长。2026年1-6月研发费用13,590.65万元、同比增加8,203.74万元，2026年一季度同比增加3,832.80万元，投入方向由本体结构与运动控制（“本体与小脑”）向具身大模型（“大脑”）扩展：公司2024年起加强具身大模型投入，2025年下半年陆续发布自研通用WMA模型与VLA模型，但报告期内尚未将自研通用具身大模型规模化应用于机器人产品，主要在自有工厂等试点场景研发测试。</w:t>
      </w:r>
    </w:p>
    <w:p>
      <w:pPr>
        <w:spacing w:after="120" w:line="320"/>
        <w:ind w:firstLine="420"/>
      </w:pPr>
      <w:r>
        <w:rPr>
          <w:rFonts w:ascii="SimSun" w:cs="SimSun" w:eastAsia="SimSun" w:hAnsi="SimSun"/>
        </w:rPr>
        <w:t xml:space="preserve">研发队伍与成果：截至2025年12月末，研发人员184人、占员工总数516人的35.66%；截至2026年1月31日取得境内外注册专利262项，其中境内发明专利20项。公司此前基于技术保密考虑专利申请较少，专利数量偏少亦被列为风险因素。</w:t>
      </w:r>
    </w:p>
    <w:p>
      <w:pPr>
        <w:spacing w:after="120" w:line="320"/>
        <w:ind w:firstLine="420"/>
      </w:pPr>
      <w:r>
        <w:rPr>
          <w:rFonts w:ascii="SimSun" w:cs="SimSun" w:eastAsia="SimSun" w:hAnsi="SimSun"/>
        </w:rPr>
        <w:t xml:space="preserve">募投项目进一步锚定研发：智能机器人模型研发项目202,245.93万元、机器人本体研发项目110,973.80万元、新型智能机器人产品开发项目44,540.00万元、智能机器人制造基地建设项目62,411.39万元，合计420,171.12万元；实际募集资金净额591,714.92万元高于拟使用规模，超募部分按监管规定用于主业。</w:t>
      </w:r>
    </w:p>
    <w:p>
      <w:pPr>
        <w:pStyle w:val="Heading1"/>
      </w:pPr>
      <w:r>
        <w:t xml:space="preserve">五、竞争优势</w:t>
      </w:r>
    </w:p>
    <w:p>
      <w:pPr>
        <w:pStyle w:val="ListParagraph"/>
        <w:numPr>
          <w:ilvl w:val="0"/>
          <w:numId w:val="1"/>
        </w:numPr>
        <w:spacing w:after="80" w:line="300"/>
      </w:pPr>
      <w:r>
        <w:rPr>
          <w:sz w:val="21"/>
          <w:szCs w:val="21"/>
        </w:rPr>
        <w:t xml:space="preserve">全栈自研带来成本与毛利率优势：公司对电机、减速器、灵巧手、激光雷达、关节模组、能源系统、计算平台、运动控制与感知系统全栈自研自制，2025年综合毛利率60.44%，普遍高于同行业公司，销售费用率8.31%远低于行业平均23.88%。</w:t>
      </w:r>
    </w:p>
    <w:p>
      <w:pPr>
        <w:pStyle w:val="ListParagraph"/>
        <w:numPr>
          <w:ilvl w:val="0"/>
          <w:numId w:val="1"/>
        </w:numPr>
        <w:spacing w:after="80" w:line="300"/>
      </w:pPr>
      <w:r>
        <w:rPr>
          <w:sz w:val="21"/>
          <w:szCs w:val="21"/>
        </w:rPr>
        <w:t xml:space="preserve">运动性能持续刷新行业纪录：H1人形机器人2025年奔跑速度超5米/秒、2026年达10米/秒，连续刷新全尺寸人形机器人世界纪录；2025年初16台H1以全AI驱动集群参演央视春晚《秧BOT》，2026年初24台G1与1台H2以全自主集群表演《武BOT》；在首届世界机器人运动会中获得11枚奖牌，为金牌数和总奖牌数最多的公司。</w:t>
      </w:r>
    </w:p>
    <w:p>
      <w:pPr>
        <w:pStyle w:val="ListParagraph"/>
        <w:numPr>
          <w:ilvl w:val="0"/>
          <w:numId w:val="1"/>
        </w:numPr>
        <w:spacing w:after="80" w:line="300"/>
      </w:pPr>
      <w:r>
        <w:rPr>
          <w:sz w:val="21"/>
          <w:szCs w:val="21"/>
        </w:rPr>
        <w:t xml:space="preserve">规模化与市场地位：四足机器人报告期累计销量超33,000台，奠定全球四足机器人市场优势地位；2025年人形机器人出货量全球第一；境外收入占比超40%，在海外科研与消费市场具有较高知名度。</w:t>
      </w:r>
    </w:p>
    <w:p>
      <w:pPr>
        <w:pStyle w:val="ListParagraph"/>
        <w:numPr>
          <w:ilvl w:val="0"/>
          <w:numId w:val="1"/>
        </w:numPr>
        <w:spacing w:after="80" w:line="300"/>
      </w:pPr>
      <w:r>
        <w:rPr>
          <w:sz w:val="21"/>
          <w:szCs w:val="21"/>
        </w:rPr>
        <w:t xml:space="preserve">“高性能+高性价比”策略：以持续降价扩大科研与消费级市场覆盖，形成“降本—降价—放量”的正循环，客户集中度低、无单一客户依赖。</w:t>
      </w:r>
    </w:p>
    <w:p>
      <w:pPr>
        <w:pStyle w:val="ListParagraph"/>
        <w:numPr>
          <w:ilvl w:val="0"/>
          <w:numId w:val="1"/>
        </w:numPr>
        <w:spacing w:after="80" w:line="300"/>
      </w:pPr>
      <w:r>
        <w:rPr>
          <w:sz w:val="21"/>
          <w:szCs w:val="21"/>
        </w:rPr>
        <w:t xml:space="preserve">资本与生态背书：战略配售引入社保基金、深度求索、腾讯关联方、能源电力央企资本等，锁定期12-36个月，体现产业资本对公司长期价值的认可。</w:t>
      </w:r>
    </w:p>
    <w:p>
      <w:pPr>
        <w:pStyle w:val="Heading1"/>
      </w:pPr>
      <w:r>
        <w:t xml:space="preserve">六、增长变量</w:t>
      </w:r>
    </w:p>
    <w:p>
      <w:pPr>
        <w:pStyle w:val="ListParagraph"/>
        <w:numPr>
          <w:ilvl w:val="0"/>
          <w:numId w:val="1"/>
        </w:numPr>
        <w:spacing w:after="80" w:line="300"/>
      </w:pPr>
      <w:r>
        <w:rPr>
          <w:sz w:val="21"/>
          <w:szCs w:val="21"/>
        </w:rPr>
        <w:t xml:space="preserve">人形机器人场景渗透：下游应用场景逐步丰富（科研教育、文化表演、智能服务、巡检救援等），2026年上半年人形机器人收入仍保持较快增长，是收入增长的第一驱动。</w:t>
      </w:r>
    </w:p>
    <w:p>
      <w:pPr>
        <w:pStyle w:val="ListParagraph"/>
        <w:numPr>
          <w:ilvl w:val="0"/>
          <w:numId w:val="1"/>
        </w:numPr>
        <w:spacing w:after="80" w:line="300"/>
      </w:pPr>
      <w:r>
        <w:rPr>
          <w:sz w:val="21"/>
          <w:szCs w:val="21"/>
        </w:rPr>
        <w:t xml:space="preserve">具身大模型突破：WMA/VLA模型后续研发与数据采集、场景实训投入，决定通用机器人能否进入工业生产、社会服务、家庭生活等更大市场；募投项目将模型与本体研发作为主要投向。</w:t>
      </w:r>
    </w:p>
    <w:p>
      <w:pPr>
        <w:pStyle w:val="ListParagraph"/>
        <w:numPr>
          <w:ilvl w:val="0"/>
          <w:numId w:val="1"/>
        </w:numPr>
        <w:spacing w:after="80" w:line="300"/>
      </w:pPr>
      <w:r>
        <w:rPr>
          <w:sz w:val="21"/>
          <w:szCs w:val="21"/>
        </w:rPr>
        <w:t xml:space="preserve">制造基地与产能扩张：智能机器人制造基地建设项目（62,411.39万元）支撑放量；超募资金提供额外弹性。</w:t>
      </w:r>
    </w:p>
    <w:p>
      <w:pPr>
        <w:pStyle w:val="ListParagraph"/>
        <w:numPr>
          <w:ilvl w:val="0"/>
          <w:numId w:val="1"/>
        </w:numPr>
        <w:spacing w:after="80" w:line="300"/>
      </w:pPr>
      <w:r>
        <w:rPr>
          <w:sz w:val="21"/>
          <w:szCs w:val="21"/>
        </w:rPr>
        <w:t xml:space="preserve">以价换量的复制：四足机器人已验证“降本—降价—放量”路径，人形机器人单价由59.34万元降至16.64万元后销量快速放大，后续成本优化与价格下探仍有望驱动销量增长。</w:t>
      </w:r>
    </w:p>
    <w:p>
      <w:pPr>
        <w:spacing w:after="120" w:line="320"/>
        <w:ind w:firstLine="420"/>
      </w:pPr>
      <w:r>
        <w:rPr>
          <w:rFonts w:ascii="SimSun" w:cs="SimSun" w:eastAsia="SimSun" w:hAnsi="SimSun"/>
        </w:rPr>
        <w:t xml:space="preserve">需要提示的是，增长基数已大幅抬升：2026年一季度收入同比增速降至68.49%、上半年进一步降至48.54%，低于报告期内226.78%的年度复合增速；行业热度缓和与竞争加剧背景下，增速中枢下移是大概率情形。</w:t>
      </w:r>
    </w:p>
    <w:p>
      <w:pPr>
        <w:pStyle w:val="Heading1"/>
      </w:pPr>
      <w:r>
        <w:t xml:space="preserve">七、主要风险</w:t>
      </w:r>
    </w:p>
    <w:p>
      <w:pPr>
        <w:pStyle w:val="ListParagraph"/>
        <w:numPr>
          <w:ilvl w:val="0"/>
          <w:numId w:val="1"/>
        </w:numPr>
        <w:spacing w:after="80" w:line="300"/>
      </w:pPr>
      <w:r>
        <w:rPr>
          <w:sz w:val="21"/>
          <w:szCs w:val="21"/>
        </w:rPr>
        <w:t xml:space="preserve">增速放缓与业绩波动风险：2026年一季度扣非归母净利润同比-52.55%、上半年-19.34%；若通用机器人商业化进度不及预期、机器人租赁等短期需求热度下降，业绩存在进一步波动甚至显著下降的可能。</w:t>
      </w:r>
    </w:p>
    <w:p>
      <w:pPr>
        <w:pStyle w:val="ListParagraph"/>
        <w:numPr>
          <w:ilvl w:val="0"/>
          <w:numId w:val="1"/>
        </w:numPr>
        <w:spacing w:after="80" w:line="300"/>
      </w:pPr>
      <w:r>
        <w:rPr>
          <w:sz w:val="21"/>
          <w:szCs w:val="21"/>
        </w:rPr>
        <w:t xml:space="preserve">行业竞争加剧：特斯拉Optimus Gen-3已宣布启动小批量试产，国内多家整车与消费电子企业布局人形机器人，可能引发价格竞争并压缩利润率；人形机器人毛利率已由87.67%降至63.18%。</w:t>
      </w:r>
    </w:p>
    <w:p>
      <w:pPr>
        <w:pStyle w:val="ListParagraph"/>
        <w:numPr>
          <w:ilvl w:val="0"/>
          <w:numId w:val="1"/>
        </w:numPr>
        <w:spacing w:after="80" w:line="300"/>
      </w:pPr>
      <w:r>
        <w:rPr>
          <w:sz w:val="21"/>
          <w:szCs w:val="21"/>
        </w:rPr>
        <w:t xml:space="preserve">国际贸易与管制政策：美国FCC于2026年7月28日将境外生产的先进机器人设备新增列入“受管制设备和服务清单”，公司现有在售主要型号（G1、H2、R1、Go2、B2、A2等）已获认证可继续销售，但新型号若无法取得认证将不能进入美国市场；2025年美国市场收入占比13.30%，且约20%原材料经境内代理商进口，供应链亦受贸易政策影响。</w:t>
      </w:r>
    </w:p>
    <w:p>
      <w:pPr>
        <w:pStyle w:val="ListParagraph"/>
        <w:numPr>
          <w:ilvl w:val="0"/>
          <w:numId w:val="1"/>
        </w:numPr>
        <w:spacing w:after="80" w:line="300"/>
      </w:pPr>
      <w:r>
        <w:rPr>
          <w:sz w:val="21"/>
          <w:szCs w:val="21"/>
        </w:rPr>
        <w:t xml:space="preserve">研发投入成效不及预期：具身大模型全球范围内均处研发测试阶段，公司尚未规模化应用，若技术进展不及预期将影响长期竞争力。</w:t>
      </w:r>
    </w:p>
    <w:p>
      <w:pPr>
        <w:pStyle w:val="ListParagraph"/>
        <w:numPr>
          <w:ilvl w:val="0"/>
          <w:numId w:val="1"/>
        </w:numPr>
        <w:spacing w:after="80" w:line="300"/>
      </w:pPr>
      <w:r>
        <w:rPr>
          <w:sz w:val="21"/>
          <w:szCs w:val="21"/>
        </w:rPr>
        <w:t xml:space="preserve">知识产权与人才风险：境内发明专利仅20项，专利数量偏少不利于技术保护；行业人才竞争激烈。</w:t>
      </w:r>
    </w:p>
    <w:p>
      <w:pPr>
        <w:pStyle w:val="ListParagraph"/>
        <w:numPr>
          <w:ilvl w:val="0"/>
          <w:numId w:val="1"/>
        </w:numPr>
        <w:spacing w:after="80" w:line="300"/>
      </w:pPr>
      <w:r>
        <w:rPr>
          <w:sz w:val="21"/>
          <w:szCs w:val="21"/>
        </w:rPr>
        <w:t xml:space="preserve">公司治理与股份支付：特别表决权安排下实际控制人表决权比例高；员工持股计划后续授予将在相关期间确认股份支付费用，可能对未来业绩产生较大影响。</w:t>
      </w:r>
    </w:p>
    <w:p>
      <w:pPr>
        <w:pStyle w:val="ListParagraph"/>
        <w:numPr>
          <w:ilvl w:val="0"/>
          <w:numId w:val="1"/>
        </w:numPr>
        <w:spacing w:after="80" w:line="300"/>
      </w:pPr>
      <w:r>
        <w:rPr>
          <w:sz w:val="21"/>
          <w:szCs w:val="21"/>
        </w:rPr>
        <w:t xml:space="preserve">二级市场流动性风险：上市初期无限售流通股仅占发行后总股本的7.44%，股价波动可能较为剧烈；发行市盈率219.23倍显著高于C34行业平均静态市盈率38.56倍，估值锚定高成长预期，若成长不及预期存在估值回落风险。</w:t>
      </w:r>
    </w:p>
    <w:p>
      <w:pPr>
        <w:pStyle w:val="Heading1"/>
      </w:pPr>
      <w:r>
        <w:t xml:space="preserve">八、结论</w:t>
      </w:r>
    </w:p>
    <w:p>
      <w:pPr>
        <w:spacing w:after="120" w:line="320"/>
        <w:ind w:firstLine="420"/>
      </w:pPr>
      <w:r>
        <w:rPr>
          <w:rFonts w:ascii="SimSun" w:cs="SimSun" w:eastAsia="SimSun" w:hAnsi="SimSun"/>
        </w:rPr>
        <w:t xml:space="preserve">宇树科技是通用机器人行业少有的“高增长、高毛利、正现金流”样本：2023-2025年收入复合增长226.78%，2025年扣非净利率约34.8%、经营现金流约为扣非净利润的1.13倍，人形机器人出货量全球第一。其核心投资逻辑在于全栈自研带来的成本与性能优势、以价换量的商业化能力，以及具身大模型突破后的场景扩张期权；核心矛盾则在于短期费用高投入（研发与品牌推广）对利润的挤压、增速中枢下移，以及高估值（发行市盈率219.23倍、市销率约35.9倍，按底稿计算）对成长兑现的严苛要求。</w:t>
      </w:r>
    </w:p>
    <w:p>
      <w:pPr>
        <w:spacing w:after="120" w:line="320"/>
        <w:ind w:firstLine="420"/>
      </w:pPr>
      <w:r>
        <w:rPr>
          <w:rFonts w:ascii="SimSun" w:cs="SimSun" w:eastAsia="SimSun" w:hAnsi="SimSun"/>
        </w:rPr>
        <w:t xml:space="preserve">口径重申：2023-2025年数据经审计（容诚审字[2026]230Z1692号），2026年1-3月数据经审阅（容诚阅字[2026]230Z0038号），2026年1-6月数据未经审计；2026年1-6月预计数据仅为管理层估计。本报告不构成任何投资建议。</w:t>
      </w:r>
    </w:p>
    <w:p>
      <w:pPr>
        <w:pStyle w:val="Heading1"/>
      </w:pPr>
      <w:r>
        <w:t xml:space="preserve">来源</w:t>
      </w:r>
    </w:p>
    <w:p>
      <w:pPr>
        <w:pStyle w:val="ListParagraph"/>
        <w:numPr>
          <w:ilvl w:val="0"/>
          <w:numId w:val="1"/>
        </w:numPr>
        <w:spacing w:after="80" w:line="300"/>
      </w:pPr>
      <w:r>
        <w:rPr>
          <w:sz w:val="21"/>
          <w:szCs w:val="21"/>
        </w:rPr>
        <w:t xml:space="preserve">[1] 宇树科技股份有限公司首次公开发行股票科创板上市公告书，2026-08-18，上海证券交易所网站披露（PDF镜像：stockmc.xueqiu.com/202608/688836_20260818_ROD1.pdf）。</w:t>
      </w:r>
    </w:p>
    <w:p>
      <w:pPr>
        <w:pStyle w:val="ListParagraph"/>
        <w:numPr>
          <w:ilvl w:val="0"/>
          <w:numId w:val="1"/>
        </w:numPr>
        <w:spacing w:after="80" w:line="300"/>
      </w:pPr>
      <w:r>
        <w:rPr>
          <w:sz w:val="21"/>
          <w:szCs w:val="21"/>
        </w:rPr>
        <w:t xml:space="preserve">[2] 宇树科技股份有限公司首次公开发行股票并在科创板上市招股说明书（上会稿），上海证券交易所披露（镜像：pdf.dfcfw.com/pdf/H2_AN202605251822861710_1.pdf）。</w:t>
      </w:r>
    </w:p>
    <w:p>
      <w:pPr>
        <w:pStyle w:val="ListParagraph"/>
        <w:numPr>
          <w:ilvl w:val="0"/>
          <w:numId w:val="1"/>
        </w:numPr>
        <w:spacing w:after="80" w:line="300"/>
      </w:pPr>
      <w:r>
        <w:rPr>
          <w:sz w:val="21"/>
          <w:szCs w:val="21"/>
        </w:rPr>
        <w:t xml:space="preserve">[3] 中国证监会《关于同意宇树科技股份有限公司首次公开发行股票注册的批复》，证监许可〔2026〕1612号，2026-07-01。</w:t>
      </w:r>
    </w:p>
    <w:p>
      <w:pPr>
        <w:pStyle w:val="ListParagraph"/>
        <w:numPr>
          <w:ilvl w:val="0"/>
          <w:numId w:val="1"/>
        </w:numPr>
        <w:spacing w:after="80" w:line="300"/>
      </w:pPr>
      <w:r>
        <w:rPr>
          <w:sz w:val="21"/>
          <w:szCs w:val="21"/>
        </w:rPr>
        <w:t xml:space="preserve">[4] 容诚会计师事务所审计报告（容诚审字[2026]230Z1692号）、审阅报告（容诚阅字[2026]230Z0038号）。</w:t>
      </w:r>
    </w:p>
    <w:p>
      <w:pPr>
        <w:pStyle w:val="ListParagraph"/>
        <w:numPr>
          <w:ilvl w:val="0"/>
          <w:numId w:val="1"/>
        </w:numPr>
        <w:spacing w:after="80" w:line="300"/>
      </w:pPr>
      <w:r>
        <w:rPr>
          <w:sz w:val="21"/>
          <w:szCs w:val="21"/>
        </w:rPr>
        <w:t xml:space="preserve">[5] 上市公告书附件二：2026年1-6月财务会计报表（未经审计）。</w:t>
      </w:r>
    </w:p>
    <w:p>
      <w:pPr>
        <w:pStyle w:val="ListParagraph"/>
        <w:numPr>
          <w:ilvl w:val="0"/>
          <w:numId w:val="1"/>
        </w:numPr>
        <w:spacing w:after="80" w:line="300"/>
      </w:pPr>
      <w:r>
        <w:rPr>
          <w:sz w:val="21"/>
          <w:szCs w:val="21"/>
        </w:rPr>
        <w:t xml:space="preserve">[6] 配套工作底稿：《宇树科技经营与财务分析底稿.xlsx》（含资料来源、原始数据、核心计算、勾稽校验与趋势图表）。</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SimHei" w:cs="SimHei" w:eastAsia="SimHei" w:hAnsi="SimHei"/>
      <w:b/>
      <w:bCs/>
      <w:sz w:val="26"/>
      <w:szCs w:val="26"/>
    </w:rPr>
  </w:style>
  <w:style w:type="paragraph" w:styleId="Heading2">
    <w:name w:val="Heading 2"/>
    <w:basedOn w:val="Normal"/>
    <w:next w:val="Normal"/>
    <w:qFormat/>
    <w:pPr>
      <w:spacing w:after="120" w:before="200"/>
      <w:outlineLvl w:val="1"/>
    </w:pPr>
    <w:rPr>
      <w:rFonts w:ascii="SimHei" w:cs="SimHei" w:eastAsia="SimHei" w:hAnsi="Sim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2026-09-03T17:30:20.593Z</dcterms:created>
  <dcterms:modified xsi:type="dcterms:W3CDTF">2026-09-03T17:30:20.594Z</dcterms:modified>
</cp:coreProperties>
</file>

<file path=docProps/custom.xml><?xml version="1.0" encoding="utf-8"?>
<Properties xmlns="http://schemas.openxmlformats.org/officeDocument/2006/custom-properties" xmlns:vt="http://schemas.openxmlformats.org/officeDocument/2006/docPropsVTypes"/>
</file>