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0"/>
      </w:pPr>
      <w:r>
        <w:rPr>
          <w:rFonts w:ascii="Times New Roman" w:hAnsi="Times New Roman" w:eastAsia="SimSun"/>
          <w:b w:val="0"/>
          <w:sz w:val="22"/>
        </w:rPr>
      </w:r>
    </w:p>
    <w:p>
      <w:pPr>
        <w:spacing w:line="360" w:lineRule="auto" w:before="0" w:after="120"/>
        <w:jc w:val="center"/>
      </w:pPr>
      <w:r>
        <w:rPr>
          <w:rFonts w:ascii="SimHei" w:hAnsi="SimHei" w:eastAsia="SimHei"/>
          <w:b/>
          <w:sz w:val="44"/>
        </w:rPr>
        <w:t>宇树科技（688836.SH）公司研究报告</w:t>
      </w:r>
    </w:p>
    <w:p>
      <w:pPr>
        <w:spacing w:line="360" w:lineRule="auto" w:before="0" w:after="600"/>
        <w:jc w:val="center"/>
      </w:pPr>
      <w:r>
        <w:rPr>
          <w:rFonts w:ascii="SimHei" w:hAnsi="SimHei" w:eastAsia="SimHei"/>
          <w:b/>
          <w:sz w:val="32"/>
        </w:rPr>
        <w:t>——科创板“人形机器人第一股”</w:t>
      </w:r>
    </w:p>
    <w:p>
      <w:pPr>
        <w:spacing w:line="360" w:lineRule="auto" w:before="0" w:after="960"/>
        <w:jc w:val="center"/>
      </w:pPr>
      <w:r>
        <w:rPr>
          <w:rFonts w:ascii="Times New Roman" w:hAnsi="Times New Roman" w:eastAsia="SimSun"/>
          <w:b w:val="0"/>
          <w:sz w:val="24"/>
        </w:rPr>
        <w:t>资料截止：2026年8月30日｜数据口径：招股说明书注册稿/上市公告书为主，金额单位为人民币万元（另有注明处除外）</w:t>
      </w:r>
    </w:p>
    <w:p>
      <w:pPr>
        <w:spacing w:line="360" w:lineRule="auto" w:before="0" w:after="120"/>
      </w:pPr>
      <w:r>
        <w:rPr>
          <w:rFonts w:ascii="Times New Roman" w:hAnsi="Times New Roman" w:eastAsia="SimSun"/>
          <w:b/>
          <w:sz w:val="22"/>
        </w:rPr>
        <w:t>重要提示：</w:t>
      </w:r>
      <w:r>
        <w:rPr>
          <w:rFonts w:ascii="Times New Roman" w:hAnsi="Times New Roman" w:eastAsia="SimSun"/>
          <w:b w:val="0"/>
          <w:sz w:val="22"/>
        </w:rPr>
        <w:t>本报告基于公开披露信息整理，不构成投资建议；含待核验数据均已标注（“（待核验）”或“约”字样）；管理层表态、第三方机构数据及预测类内容均已明确标注其性质，与已发生事实严格区分。</w:t>
      </w:r>
    </w:p>
    <w:p>
      <w:r>
        <w:br w:type="page"/>
      </w:r>
    </w:p>
    <w:p>
      <w:pPr>
        <w:spacing w:line="360" w:lineRule="auto" w:before="280" w:after="160"/>
      </w:pPr>
      <w:r>
        <w:rPr>
          <w:rFonts w:ascii="SimHei" w:hAnsi="SimHei" w:eastAsia="SimHei"/>
          <w:b/>
          <w:sz w:val="32"/>
        </w:rPr>
        <w:t>一、公司概况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（一）成立与上市时间线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杭州宇树科技股份有限公司（下称“宇树科技”或“公司”）成立于2016年8月26日，2026年8月19日在上海证券交易所科创板上市，证券代码688836，证券简称带“-W”标识，表明公司存在表决权差异安排。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上市进程（据上市公告书、发行公告）：2025年7月8日辅导备案；2026年3月20日获受理（科创板预先审阅第2单）；2026年6月1日过会（受理至过会73天）；2026年7月2日注册生效（证监许可〔2026〕1612号，受理起104天）；2026年7月31日披露招股意向书；2026年8月10日申购；2026年8月19日上市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（二）实际控制人与员工规模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公司实际控制人为王兴兴。发行前，王兴兴直接持股23.8216%，并通过上海宇翼（持股9.5367%）合计控制33.3583%；发行后，王兴兴直接持股21.4395%，在表决权差异安排下合计控制表决权65.31%。主要机构股东包括美团系（9.6488%）、红杉中国（7.1149%）、经纬（5.4528%）、顺为（4.4245%）等；王兴兴所持股份锁定期为36个月。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员工规模：截至2025年9月30日，公司在册员工480人，其中研发人员175人（占36.46%）、销售人员142人（占29.6%）；截至2025年末员工516人（待核验，单一来源）。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（三）IPO核心要素</w:t>
      </w:r>
    </w:p>
    <w:p>
      <w:pPr>
        <w:spacing w:line="312" w:lineRule="auto" w:before="120" w:after="60"/>
      </w:pPr>
      <w:r>
        <w:rPr>
          <w:rFonts w:ascii="Times New Roman" w:hAnsi="Times New Roman" w:eastAsia="SimSun"/>
          <w:b/>
          <w:sz w:val="22"/>
        </w:rPr>
        <w:t>表1：IPO核心要素简表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项目</w:t>
            </w:r>
          </w:p>
        </w:tc>
        <w:tc>
          <w:tcPr>
            <w:tcW w:type="dxa" w:w="453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证券代码</w:t>
            </w:r>
          </w:p>
        </w:tc>
        <w:tc>
          <w:tcPr>
            <w:tcW w:type="dxa" w:w="453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688836（-W，表决权差异安排）</w:t>
            </w:r>
          </w:p>
        </w:tc>
      </w:tr>
      <w:tr>
        <w:tc>
          <w:tcPr>
            <w:tcW w:type="dxa" w:w="4533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上市日期</w:t>
            </w:r>
          </w:p>
        </w:tc>
        <w:tc>
          <w:tcPr>
            <w:tcW w:type="dxa" w:w="453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2026年8月19日（上交所科创板）</w:t>
            </w:r>
          </w:p>
        </w:tc>
      </w:tr>
      <w:tr>
        <w:tc>
          <w:tcPr>
            <w:tcW w:type="dxa" w:w="4533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发行价</w:t>
            </w:r>
          </w:p>
        </w:tc>
        <w:tc>
          <w:tcPr>
            <w:tcW w:type="dxa" w:w="453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150.80元/股</w:t>
            </w:r>
          </w:p>
        </w:tc>
      </w:tr>
      <w:tr>
        <w:tc>
          <w:tcPr>
            <w:tcW w:type="dxa" w:w="4533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发行数量</w:t>
            </w:r>
          </w:p>
        </w:tc>
        <w:tc>
          <w:tcPr>
            <w:tcW w:type="dxa" w:w="453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新发4,044.6434万股（占发行后总股本10%）</w:t>
            </w:r>
          </w:p>
        </w:tc>
      </w:tr>
      <w:tr>
        <w:tc>
          <w:tcPr>
            <w:tcW w:type="dxa" w:w="4533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发行后总股本</w:t>
            </w:r>
          </w:p>
        </w:tc>
        <w:tc>
          <w:tcPr>
            <w:tcW w:type="dxa" w:w="453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40,446.4340万股</w:t>
            </w:r>
          </w:p>
        </w:tc>
      </w:tr>
      <w:tr>
        <w:tc>
          <w:tcPr>
            <w:tcW w:type="dxa" w:w="4533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募资总额/净额</w:t>
            </w:r>
          </w:p>
        </w:tc>
        <w:tc>
          <w:tcPr>
            <w:tcW w:type="dxa" w:w="453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609,932.22万元 / 591,714.92万元（发行费用18,217.31万元）</w:t>
            </w:r>
          </w:p>
        </w:tc>
      </w:tr>
      <w:tr>
        <w:tc>
          <w:tcPr>
            <w:tcW w:type="dxa" w:w="4533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计划募资/超募</w:t>
            </w:r>
          </w:p>
        </w:tc>
        <w:tc>
          <w:tcPr>
            <w:tcW w:type="dxa" w:w="453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计划募资420,171.12万元，超募约171,500万元</w:t>
            </w:r>
          </w:p>
        </w:tc>
      </w:tr>
      <w:tr>
        <w:tc>
          <w:tcPr>
            <w:tcW w:type="dxa" w:w="4533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发行市盈率</w:t>
            </w:r>
          </w:p>
        </w:tc>
        <w:tc>
          <w:tcPr>
            <w:tcW w:type="dxa" w:w="453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219.23倍（发行市值609.93亿元÷2025年归母净利润2.7821亿元，扣非前后孰低）；同期行业市盈率38.56倍</w:t>
            </w:r>
          </w:p>
        </w:tc>
      </w:tr>
      <w:tr>
        <w:tc>
          <w:tcPr>
            <w:tcW w:type="dxa" w:w="4533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静态市销率</w:t>
            </w:r>
          </w:p>
        </w:tc>
        <w:tc>
          <w:tcPr>
            <w:tcW w:type="dxa" w:w="453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35.89倍（发行市值609.93亿元÷2025年营业收入16.9927亿元）</w:t>
            </w:r>
          </w:p>
        </w:tc>
      </w:tr>
      <w:tr>
        <w:tc>
          <w:tcPr>
            <w:tcW w:type="dxa" w:w="4533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网上中签率</w:t>
            </w:r>
          </w:p>
        </w:tc>
        <w:tc>
          <w:tcPr>
            <w:tcW w:type="dxa" w:w="453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0.01809759%</w:t>
            </w:r>
          </w:p>
        </w:tc>
      </w:tr>
      <w:tr>
        <w:tc>
          <w:tcPr>
            <w:tcW w:type="dxa" w:w="4533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上市初流通股</w:t>
            </w:r>
          </w:p>
        </w:tc>
        <w:tc>
          <w:tcPr>
            <w:tcW w:type="dxa" w:w="453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3,008.772万股，仅占总股本7.44%</w:t>
            </w:r>
          </w:p>
        </w:tc>
      </w:tr>
      <w:tr>
        <w:tc>
          <w:tcPr>
            <w:tcW w:type="dxa" w:w="4533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上市首日表现</w:t>
            </w:r>
          </w:p>
        </w:tc>
        <w:tc>
          <w:tcPr>
            <w:tcW w:type="dxa" w:w="453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开盘1,100元（+629.44%），最低800.08元，收盘845元（+460.34%）；收盘市值3,417.72亿元，成交约231.6亿元</w:t>
            </w:r>
          </w:p>
        </w:tc>
      </w:tr>
    </w:tbl>
    <w:p>
      <w:pPr>
        <w:spacing w:line="312" w:lineRule="auto" w:before="40" w:after="160"/>
      </w:pPr>
      <w:r>
        <w:rPr>
          <w:rFonts w:ascii="Times New Roman" w:hAnsi="Times New Roman" w:eastAsia="SimSun"/>
          <w:b w:val="0"/>
          <w:sz w:val="21"/>
        </w:rPr>
        <w:t>注：表中金额单位除注明外为人民币万元；市值、成交额单位为亿元（二级市场数据）。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上市前融资：十年累计约18.92亿元；2025年6月C轮融资投前估值120亿元、投后127亿元。</w:t>
      </w:r>
    </w:p>
    <w:p>
      <w:pPr>
        <w:spacing w:line="360" w:lineRule="auto" w:before="280" w:after="160"/>
      </w:pPr>
      <w:r>
        <w:rPr>
          <w:rFonts w:ascii="SimHei" w:hAnsi="SimHei" w:eastAsia="SimHei"/>
          <w:b/>
          <w:sz w:val="32"/>
        </w:rPr>
        <w:t>二、主营业务与产品结构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（一）三大业务概览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公司主营业务包括四足机器人、人形机器人、组件及其他三大板块。四足机器人为公司传统优势业务（Go2、As2-W等产品）；人形机器人（G1、R1、H1等）自2024年起快速放量，2025年成为第一大收入来源；组件及其他主要为自研核心零部件及相关配件（该板块收入及主营业务收入合计数为倒算值，待核验）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（二）分产品收入结构</w:t>
      </w:r>
    </w:p>
    <w:p>
      <w:pPr>
        <w:spacing w:line="312" w:lineRule="auto" w:before="120" w:after="60"/>
      </w:pPr>
      <w:r>
        <w:rPr>
          <w:rFonts w:ascii="Times New Roman" w:hAnsi="Times New Roman" w:eastAsia="SimSun"/>
          <w:b/>
          <w:sz w:val="22"/>
        </w:rPr>
        <w:t>表2：分产品收入及占比（2023–2025年，注册稿口径；单位：万元）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产品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2023收入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占比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2024收入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占比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2025收入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占比</w:t>
            </w:r>
          </w:p>
        </w:tc>
      </w:tr>
      <w:tr>
        <w:tc>
          <w:tcPr>
            <w:tcW w:type="dxa" w:w="1295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四足机器人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11,900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75.78%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23,100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59.47%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69,800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41.62%</w:t>
            </w:r>
          </w:p>
        </w:tc>
      </w:tr>
      <w:tr>
        <w:tc>
          <w:tcPr>
            <w:tcW w:type="dxa" w:w="1295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人形机器人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296.71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1.88%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10,700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27.68%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86,800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51.78%</w:t>
            </w:r>
          </w:p>
        </w:tc>
      </w:tr>
      <w:tr>
        <w:tc>
          <w:tcPr>
            <w:tcW w:type="dxa" w:w="1295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组件及其他（倒算，待核验）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≈3,500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≈22.3%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≈5,000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≈12.9%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≈11,100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≈6.6%</w:t>
            </w:r>
          </w:p>
        </w:tc>
      </w:tr>
      <w:tr>
        <w:tc>
          <w:tcPr>
            <w:tcW w:type="dxa" w:w="1295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主营业务收入合计（倒算）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≈15,700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100%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≈38,800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100%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≈167,700</w:t>
            </w:r>
          </w:p>
        </w:tc>
        <w:tc>
          <w:tcPr>
            <w:tcW w:type="dxa" w:w="1295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100%</w:t>
            </w:r>
          </w:p>
        </w:tc>
      </w:tr>
    </w:tbl>
    <w:p>
      <w:pPr>
        <w:spacing w:line="312" w:lineRule="auto" w:before="40" w:after="160"/>
      </w:pPr>
      <w:r>
        <w:rPr>
          <w:rFonts w:ascii="Times New Roman" w:hAnsi="Times New Roman" w:eastAsia="SimSun"/>
          <w:b w:val="0"/>
          <w:sz w:val="21"/>
        </w:rPr>
        <w:t>注：四足、人形收入为注册稿披露口径（约数）；组件及其他与合计为倒算值（待核验）。2025年1-9月（申报稿）：人形59,500万元（占51.53%）、四足48,800万元（占42.25%）、组件约6,700万元（约5.8%）。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（三）销量与单价变化</w:t>
      </w:r>
    </w:p>
    <w:p>
      <w:pPr>
        <w:spacing w:line="312" w:lineRule="auto" w:before="120" w:after="60"/>
      </w:pPr>
      <w:r>
        <w:rPr>
          <w:rFonts w:ascii="Times New Roman" w:hAnsi="Times New Roman" w:eastAsia="SimSun"/>
          <w:b/>
          <w:sz w:val="22"/>
        </w:rPr>
        <w:t>表3：销量与平均单价（申报稿口径）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指标</w:t>
            </w:r>
          </w:p>
        </w:tc>
        <w:tc>
          <w:tcPr>
            <w:tcW w:type="dxa" w:w="181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2022</w:t>
            </w:r>
          </w:p>
        </w:tc>
        <w:tc>
          <w:tcPr>
            <w:tcW w:type="dxa" w:w="181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2023</w:t>
            </w:r>
          </w:p>
        </w:tc>
        <w:tc>
          <w:tcPr>
            <w:tcW w:type="dxa" w:w="181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2024</w:t>
            </w:r>
          </w:p>
        </w:tc>
        <w:tc>
          <w:tcPr>
            <w:tcW w:type="dxa" w:w="181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2025年1-9月</w:t>
            </w:r>
          </w:p>
        </w:tc>
      </w:tr>
      <w:tr>
        <w:tc>
          <w:tcPr>
            <w:tcW w:type="dxa" w:w="1813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四足机器人销量（台）</w:t>
            </w:r>
          </w:p>
        </w:tc>
        <w:tc>
          <w:tcPr>
            <w:tcW w:type="dxa" w:w="181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2,403</w:t>
            </w:r>
          </w:p>
        </w:tc>
        <w:tc>
          <w:tcPr>
            <w:tcW w:type="dxa" w:w="181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3,121</w:t>
            </w:r>
          </w:p>
        </w:tc>
        <w:tc>
          <w:tcPr>
            <w:tcW w:type="dxa" w:w="181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7,136</w:t>
            </w:r>
          </w:p>
        </w:tc>
        <w:tc>
          <w:tcPr>
            <w:tcW w:type="dxa" w:w="181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17,946</w:t>
            </w:r>
          </w:p>
        </w:tc>
      </w:tr>
      <w:tr>
        <w:tc>
          <w:tcPr>
            <w:tcW w:type="dxa" w:w="1813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人形机器人销量（台）</w:t>
            </w:r>
          </w:p>
        </w:tc>
        <w:tc>
          <w:tcPr>
            <w:tcW w:type="dxa" w:w="181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—</w:t>
            </w:r>
          </w:p>
        </w:tc>
        <w:tc>
          <w:tcPr>
            <w:tcW w:type="dxa" w:w="181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5</w:t>
            </w:r>
          </w:p>
        </w:tc>
        <w:tc>
          <w:tcPr>
            <w:tcW w:type="dxa" w:w="181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410</w:t>
            </w:r>
          </w:p>
        </w:tc>
        <w:tc>
          <w:tcPr>
            <w:tcW w:type="dxa" w:w="181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3,551</w:t>
            </w:r>
          </w:p>
        </w:tc>
      </w:tr>
      <w:tr>
        <w:tc>
          <w:tcPr>
            <w:tcW w:type="dxa" w:w="1813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人形平均单价（万元/台）</w:t>
            </w:r>
          </w:p>
        </w:tc>
        <w:tc>
          <w:tcPr>
            <w:tcW w:type="dxa" w:w="181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—</w:t>
            </w:r>
          </w:p>
        </w:tc>
        <w:tc>
          <w:tcPr>
            <w:tcW w:type="dxa" w:w="181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59.34</w:t>
            </w:r>
          </w:p>
        </w:tc>
        <w:tc>
          <w:tcPr>
            <w:tcW w:type="dxa" w:w="181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26.07</w:t>
            </w:r>
          </w:p>
        </w:tc>
        <w:tc>
          <w:tcPr>
            <w:tcW w:type="dxa" w:w="181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16.76</w:t>
            </w:r>
          </w:p>
        </w:tc>
      </w:tr>
      <w:tr>
        <w:tc>
          <w:tcPr>
            <w:tcW w:type="dxa" w:w="1813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四足平均单价（万元/台）</w:t>
            </w:r>
          </w:p>
        </w:tc>
        <w:tc>
          <w:tcPr>
            <w:tcW w:type="dxa" w:w="181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3.86</w:t>
            </w:r>
          </w:p>
        </w:tc>
        <w:tc>
          <w:tcPr>
            <w:tcW w:type="dxa" w:w="181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—</w:t>
            </w:r>
          </w:p>
        </w:tc>
        <w:tc>
          <w:tcPr>
            <w:tcW w:type="dxa" w:w="181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—</w:t>
            </w:r>
          </w:p>
        </w:tc>
        <w:tc>
          <w:tcPr>
            <w:tcW w:type="dxa" w:w="1813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2.72</w:t>
            </w:r>
          </w:p>
        </w:tc>
      </w:tr>
    </w:tbl>
    <w:p>
      <w:pPr>
        <w:spacing w:line="312" w:lineRule="auto" w:before="40" w:after="160"/>
      </w:pPr>
      <w:r>
        <w:rPr>
          <w:rFonts w:ascii="Times New Roman" w:hAnsi="Times New Roman" w:eastAsia="SimSun"/>
          <w:b w:val="0"/>
          <w:sz w:val="21"/>
        </w:rPr>
        <w:t>注：2025年全年四足销量约25,500台（待核验，单一来源）；人形销量第三方口径5,215台（待核验），公司官方出货口径为超5,500台、全球第一。四足机器人报告期累计销量超3万台，截至2025年末超3.3万台。交叉验证：2025年1-9月人形3,551台×16.76万元≈59,515万元，与披露的人形收入59,500万元自洽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（四）下游应用与分地区结构</w:t>
      </w:r>
    </w:p>
    <w:p>
      <w:pPr>
        <w:spacing w:line="312" w:lineRule="auto" w:before="120" w:after="60"/>
      </w:pPr>
      <w:r>
        <w:rPr>
          <w:rFonts w:ascii="Times New Roman" w:hAnsi="Times New Roman" w:eastAsia="SimSun"/>
          <w:b/>
          <w:sz w:val="22"/>
        </w:rPr>
        <w:t>表4：下游应用结构（2025年1-9月，申报稿口径，按收入占比）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下游应用</w:t>
            </w:r>
          </w:p>
        </w:tc>
        <w:tc>
          <w:tcPr>
            <w:tcW w:type="dxa" w:w="302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人形机器人</w:t>
            </w:r>
          </w:p>
        </w:tc>
        <w:tc>
          <w:tcPr>
            <w:tcW w:type="dxa" w:w="302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四足机器人</w:t>
            </w:r>
          </w:p>
        </w:tc>
      </w:tr>
      <w:tr>
        <w:tc>
          <w:tcPr>
            <w:tcW w:type="dxa" w:w="3022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科研教育</w:t>
            </w:r>
          </w:p>
        </w:tc>
        <w:tc>
          <w:tcPr>
            <w:tcW w:type="dxa" w:w="302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73.60%</w:t>
            </w:r>
          </w:p>
        </w:tc>
        <w:tc>
          <w:tcPr>
            <w:tcW w:type="dxa" w:w="302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31.58%</w:t>
            </w:r>
          </w:p>
        </w:tc>
      </w:tr>
      <w:tr>
        <w:tc>
          <w:tcPr>
            <w:tcW w:type="dxa" w:w="3022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商业消费</w:t>
            </w:r>
          </w:p>
        </w:tc>
        <w:tc>
          <w:tcPr>
            <w:tcW w:type="dxa" w:w="302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17.39%</w:t>
            </w:r>
          </w:p>
        </w:tc>
        <w:tc>
          <w:tcPr>
            <w:tcW w:type="dxa" w:w="302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42.30%</w:t>
            </w:r>
          </w:p>
        </w:tc>
      </w:tr>
      <w:tr>
        <w:tc>
          <w:tcPr>
            <w:tcW w:type="dxa" w:w="3022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行业应用</w:t>
            </w:r>
          </w:p>
        </w:tc>
        <w:tc>
          <w:tcPr>
            <w:tcW w:type="dxa" w:w="302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9.01%</w:t>
            </w:r>
          </w:p>
        </w:tc>
        <w:tc>
          <w:tcPr>
            <w:tcW w:type="dxa" w:w="302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26.12%</w:t>
            </w:r>
          </w:p>
        </w:tc>
      </w:tr>
    </w:tbl>
    <w:p>
      <w:pPr>
        <w:spacing w:line="312" w:lineRule="auto" w:before="40" w:after="160"/>
      </w:pPr>
      <w:r>
        <w:rPr>
          <w:rFonts w:ascii="Times New Roman" w:hAnsi="Times New Roman" w:eastAsia="SimSun"/>
          <w:b w:val="0"/>
          <w:sz w:val="21"/>
        </w:rPr>
        <w:t>注：人形机器人科研教育对应收入43,800万元；行业应用中智能制造、智能巡检等真实生产场景收入仅1,570万元、占主营业务收入2.64%（待核验，单一来源）。</w:t>
      </w:r>
    </w:p>
    <w:p>
      <w:pPr>
        <w:spacing w:line="312" w:lineRule="auto" w:before="120" w:after="60"/>
      </w:pPr>
      <w:r>
        <w:rPr>
          <w:rFonts w:ascii="Times New Roman" w:hAnsi="Times New Roman" w:eastAsia="SimSun"/>
          <w:b/>
          <w:sz w:val="22"/>
        </w:rPr>
        <w:t>表5：分地区收入结构（申报稿口径，主营业务收入；单位：万元）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报告期</w:t>
            </w:r>
          </w:p>
        </w:tc>
        <w:tc>
          <w:tcPr>
            <w:tcW w:type="dxa" w:w="2266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境外收入</w:t>
            </w:r>
          </w:p>
        </w:tc>
        <w:tc>
          <w:tcPr>
            <w:tcW w:type="dxa" w:w="2266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境外占比</w:t>
            </w:r>
          </w:p>
        </w:tc>
        <w:tc>
          <w:tcPr>
            <w:tcW w:type="dxa" w:w="2266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备注</w:t>
            </w:r>
          </w:p>
        </w:tc>
      </w:tr>
      <w:tr>
        <w:tc>
          <w:tcPr>
            <w:tcW w:type="dxa" w:w="2266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2022年度</w:t>
            </w:r>
          </w:p>
        </w:tc>
        <w:tc>
          <w:tcPr>
            <w:tcW w:type="dxa" w:w="2266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6,935.28</w:t>
            </w:r>
          </w:p>
        </w:tc>
        <w:tc>
          <w:tcPr>
            <w:tcW w:type="dxa" w:w="2266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57.21%</w:t>
            </w:r>
          </w:p>
        </w:tc>
        <w:tc>
          <w:tcPr>
            <w:tcW w:type="dxa" w:w="2266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—</w:t>
            </w:r>
          </w:p>
        </w:tc>
      </w:tr>
      <w:tr>
        <w:tc>
          <w:tcPr>
            <w:tcW w:type="dxa" w:w="2266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2023年度</w:t>
            </w:r>
          </w:p>
        </w:tc>
        <w:tc>
          <w:tcPr>
            <w:tcW w:type="dxa" w:w="2266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8,764.24</w:t>
            </w:r>
          </w:p>
        </w:tc>
        <w:tc>
          <w:tcPr>
            <w:tcW w:type="dxa" w:w="2266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55.63%</w:t>
            </w:r>
          </w:p>
        </w:tc>
        <w:tc>
          <w:tcPr>
            <w:tcW w:type="dxa" w:w="2266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—</w:t>
            </w:r>
          </w:p>
        </w:tc>
      </w:tr>
      <w:tr>
        <w:tc>
          <w:tcPr>
            <w:tcW w:type="dxa" w:w="2266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2024年度</w:t>
            </w:r>
          </w:p>
        </w:tc>
        <w:tc>
          <w:tcPr>
            <w:tcW w:type="dxa" w:w="2266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约21,600</w:t>
            </w:r>
          </w:p>
        </w:tc>
        <w:tc>
          <w:tcPr>
            <w:tcW w:type="dxa" w:w="2266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55.70%</w:t>
            </w:r>
          </w:p>
        </w:tc>
        <w:tc>
          <w:tcPr>
            <w:tcW w:type="dxa" w:w="2266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—</w:t>
            </w:r>
          </w:p>
        </w:tc>
      </w:tr>
      <w:tr>
        <w:tc>
          <w:tcPr>
            <w:tcW w:type="dxa" w:w="2266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2025年1-9月</w:t>
            </w:r>
          </w:p>
        </w:tc>
        <w:tc>
          <w:tcPr>
            <w:tcW w:type="dxa" w:w="2266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45,300（同比+179.88%）</w:t>
            </w:r>
          </w:p>
        </w:tc>
        <w:tc>
          <w:tcPr>
            <w:tcW w:type="dxa" w:w="2266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39.20%</w:t>
            </w:r>
          </w:p>
        </w:tc>
        <w:tc>
          <w:tcPr>
            <w:tcW w:type="dxa" w:w="2266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境内70,200（同比+445.69%），占60.80%</w:t>
            </w:r>
          </w:p>
        </w:tc>
      </w:tr>
      <w:tr>
        <w:tc>
          <w:tcPr>
            <w:tcW w:type="dxa" w:w="2266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2025年全年</w:t>
            </w:r>
          </w:p>
        </w:tc>
        <w:tc>
          <w:tcPr>
            <w:tcW w:type="dxa" w:w="2266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待核验</w:t>
            </w:r>
          </w:p>
        </w:tc>
        <w:tc>
          <w:tcPr>
            <w:tcW w:type="dxa" w:w="2266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待核验</w:t>
            </w:r>
          </w:p>
        </w:tc>
        <w:tc>
          <w:tcPr>
            <w:tcW w:type="dxa" w:w="2266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一说境外73,200（占43.65%），与“同比+109.91%”自相矛盾，不纳入计算，列待核验</w:t>
            </w:r>
          </w:p>
        </w:tc>
      </w:tr>
    </w:tbl>
    <w:p>
      <w:pPr>
        <w:spacing w:line="312" w:lineRule="auto" w:before="40" w:after="160"/>
      </w:pPr>
      <w:r>
        <w:rPr>
          <w:rFonts w:ascii="Times New Roman" w:hAnsi="Times New Roman" w:eastAsia="SimSun"/>
          <w:b w:val="0"/>
          <w:sz w:val="21"/>
        </w:rPr>
        <w:t>注：2025年美国市场收入占比13.3%（待核验，单一来源）；2025年前五大客户合计20,500万元、占12.09%（待核验，单一来源）。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（五）主要产品定价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据公司官方定价：四足机器人Go2售价9,997元起（海外1,600美元起）；人形机器人G1发布价9.9万元起，2026年降至8.5万元起（海外13,500美元起）；R1发布价3.99万元起，2026年6月24日进一步降至2.99万元起；H1约65万元/台。</w:t>
      </w:r>
    </w:p>
    <w:p>
      <w:pPr>
        <w:spacing w:line="360" w:lineRule="auto" w:before="280" w:after="160"/>
      </w:pPr>
      <w:r>
        <w:rPr>
          <w:rFonts w:ascii="SimHei" w:hAnsi="SimHei" w:eastAsia="SimHei"/>
          <w:b/>
          <w:sz w:val="32"/>
        </w:rPr>
        <w:t>三、收入与盈利变化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（一）营业收入轨迹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营业收入由2022年约12,300万元（约1.23亿元，申报稿口径）增至2023年15,913.44万元、2024年约39,276.6万元（待核验，由2025年同比增速倒算）、2025年169,926.93万元（约16.99亿元），2023–2025年复合增长率约226.8%；其中2025年同比增长332.64%。2026年上半年营业收入约115,200万元（披露11.52亿元），同比增长48.54%，增速较2025年回落但仍处高位。分产品看，人形机器人收入由2023年296.71万元增至2025年86,800万元（约8.68亿元），为增长主引擎；四足机器人增至69,800万元（约6.98亿元），保持稳健增长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（二）利润变化：2024年扭亏，2025年归母与扣非显著背离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归母净利润2022年-2,210.05万元、2023年-1,114.51万元，2024年扭亏为盈至9,547.47万元，2025年达27,821.05万元（约2.78亿元）；2025年扣非归母净利润59,075.28万元（约5.91亿元）。归母与扣非差异约31,254万元，主因2025年一次性股份支付34,906.55万元（约3.49亿元）计入管理费用（属非经常性损益）。2025年扣非净利率约34.8%。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2026年以来出现“增收不增利”现象：2026年一季度营业收入42,284.05万元（同比+68.49%），扣非净利润4,025.36万元，同比下降52.55%（上年同期8,483.65万元）；2026年上半年归母净利润约27,400万元（披露2.74亿元；上年同期-3,202.45万元），扣非净利润约24,400万元（披露2.44亿元），同比下降19.34%。主要背景为研发费用（+152%）、销售费用（+250%，待核验）高速扩张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（三）毛利率与经营现金流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主营业务毛利率2023年44.22%、2024年56.74%、2025年60.13%，持续上行（规模效应及高毛利人形产品占比提升；人形机器人毛利率约62.9%，待核验，期间口径）；2022年为44.18%（申报稿口径）。经营活动现金流净额由2022年-3,019.73万元、2023年494.25万元，升至2024年约19,200万元（披露1.92亿元）、2025年约67,000万元（披露6.70亿元，同比+248.24%）；2025年经营现金流高于扣非净利润，盈利含金量较高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（四）主要财务数据表</w:t>
      </w:r>
    </w:p>
    <w:p>
      <w:pPr>
        <w:spacing w:line="312" w:lineRule="auto" w:before="120" w:after="60"/>
      </w:pPr>
      <w:r>
        <w:rPr>
          <w:rFonts w:ascii="Times New Roman" w:hAnsi="Times New Roman" w:eastAsia="SimSun"/>
          <w:b/>
          <w:sz w:val="22"/>
        </w:rPr>
        <w:t>表6：主要财务数据表（单位：万元；毛利率行为百分比）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指标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2022年度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2023年度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2024年度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2025年度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2026年1-6月</w:t>
            </w:r>
          </w:p>
        </w:tc>
      </w:tr>
      <w:tr>
        <w:tc>
          <w:tcPr>
            <w:tcW w:type="dxa" w:w="1511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营业收入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12,300（约）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15,913.44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39,276.6（约）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169,926.93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115,200（约）</w:t>
            </w:r>
          </w:p>
        </w:tc>
      </w:tr>
      <w:tr>
        <w:tc>
          <w:tcPr>
            <w:tcW w:type="dxa" w:w="1511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归母净利润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-2,210.05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-1,114.51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9,547.47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27,821.05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27,400（约）</w:t>
            </w:r>
          </w:p>
        </w:tc>
      </w:tr>
      <w:tr>
        <w:tc>
          <w:tcPr>
            <w:tcW w:type="dxa" w:w="1511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扣非归母净利润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-807（约）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-1,801.91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7,847.65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59,075.28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24,400（约）</w:t>
            </w:r>
          </w:p>
        </w:tc>
      </w:tr>
      <w:tr>
        <w:tc>
          <w:tcPr>
            <w:tcW w:type="dxa" w:w="1511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主营业务毛利率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44.18%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44.22%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56.74%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60.13%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56.01%（待核验）</w:t>
            </w:r>
          </w:p>
        </w:tc>
      </w:tr>
      <w:tr>
        <w:tc>
          <w:tcPr>
            <w:tcW w:type="dxa" w:w="1511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研发费用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2,998.48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4,995.18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7,001.70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14,500（约）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13,600（约）</w:t>
            </w:r>
          </w:p>
        </w:tc>
      </w:tr>
      <w:tr>
        <w:tc>
          <w:tcPr>
            <w:tcW w:type="dxa" w:w="1511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经营活动现金流净额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-3,019.73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494.25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19,200（约）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67,000（约）</w:t>
            </w:r>
          </w:p>
        </w:tc>
        <w:tc>
          <w:tcPr>
            <w:tcW w:type="dxa" w:w="1511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未披露</w:t>
            </w:r>
          </w:p>
        </w:tc>
      </w:tr>
    </w:tbl>
    <w:p>
      <w:pPr>
        <w:spacing w:line="312" w:lineRule="auto" w:before="40" w:after="160"/>
      </w:pPr>
      <w:r>
        <w:rPr>
          <w:rFonts w:ascii="Times New Roman" w:hAnsi="Times New Roman" w:eastAsia="SimSun"/>
          <w:b w:val="0"/>
          <w:sz w:val="21"/>
        </w:rPr>
        <w:t>注：2022年度为申报稿口径；2024年营业收入为按2025年同比增速332.64%倒算的约数（申报稿审计值39,237.06万元，待核验），2024年归母净利润注册稿为9,547.47万元（申报稿9,450.18万元）；2026年上半年数据取自上市公告书，其中毛利率56.01%为综合毛利率、单一来源（待核验）；2026年上半年经营现金流未披露（2026年一季度为3,439.96万元，待核验）；2022年及2023年经营活动现金流净额为单一来源精确值（待核验）。公司无少数股东权益，净利润=归母净利润。</w:t>
      </w:r>
    </w:p>
    <w:p>
      <w:pPr>
        <w:spacing w:line="360" w:lineRule="auto" w:before="280" w:after="160"/>
      </w:pPr>
      <w:r>
        <w:rPr>
          <w:rFonts w:ascii="SimHei" w:hAnsi="SimHei" w:eastAsia="SimHei"/>
          <w:b/>
          <w:sz w:val="32"/>
        </w:rPr>
        <w:t>四、研发投入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（一）研发费用与费用率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研发费用2022年2,998.48万元（费用率24.39%）、2023年4,995.18万元（31.39%）、2024年7,001.70万元（17.84%）、2025年约14,500万元（披露1.45亿元，同比+107%；费用率8.53%）；2026年上半年约13,600万元（披露1.36亿元），同比增加8,203.74万元（费用率约11.8%，倒算，待核验）。研发费用率随收入放量快速摊薄，且显著低于同业——2025年1-9月行业可比公司均值为27.92%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（二）研发人员、专利与技术路线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截至2025年9月30日，公司研发人员175人，占员工总数36.46%（2025年末184人，待核验）。截至2026年1月31日，公司拥有专利权262项，其中境内发明专利20项（路演口径）；核心技术人员为王兴兴、杨知雨、张阳光。技术路线上，公司押注WMA、VLA等具身智能路线，自研工业级具身大模型UnifoLM-X1-0已在工厂试点（路演披露）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（三）募投项目：约85%投向研发</w:t>
      </w:r>
    </w:p>
    <w:p>
      <w:pPr>
        <w:spacing w:line="312" w:lineRule="auto" w:before="120" w:after="60"/>
      </w:pPr>
      <w:r>
        <w:rPr>
          <w:rFonts w:ascii="Times New Roman" w:hAnsi="Times New Roman" w:eastAsia="SimSun"/>
          <w:b/>
          <w:sz w:val="22"/>
        </w:rPr>
        <w:t>表7：募投项目（单位：万元）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募投项目</w:t>
            </w:r>
          </w:p>
        </w:tc>
        <w:tc>
          <w:tcPr>
            <w:tcW w:type="dxa" w:w="302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拟投入金额</w:t>
            </w:r>
          </w:p>
        </w:tc>
        <w:tc>
          <w:tcPr>
            <w:tcW w:type="dxa" w:w="302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智能机器人模型研发</w:t>
            </w:r>
          </w:p>
        </w:tc>
        <w:tc>
          <w:tcPr>
            <w:tcW w:type="dxa" w:w="302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202,245.93</w:t>
            </w:r>
          </w:p>
        </w:tc>
        <w:tc>
          <w:tcPr>
            <w:tcW w:type="dxa" w:w="302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约占募投总额48%</w:t>
            </w:r>
          </w:p>
        </w:tc>
      </w:tr>
      <w:tr>
        <w:tc>
          <w:tcPr>
            <w:tcW w:type="dxa" w:w="3022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机器人本体研发</w:t>
            </w:r>
          </w:p>
        </w:tc>
        <w:tc>
          <w:tcPr>
            <w:tcW w:type="dxa" w:w="302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110,973.80</w:t>
            </w:r>
          </w:p>
        </w:tc>
        <w:tc>
          <w:tcPr>
            <w:tcW w:type="dxa" w:w="302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新型产品开发</w:t>
            </w:r>
          </w:p>
        </w:tc>
        <w:tc>
          <w:tcPr>
            <w:tcW w:type="dxa" w:w="302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44,540.00</w:t>
            </w:r>
          </w:p>
        </w:tc>
        <w:tc>
          <w:tcPr>
            <w:tcW w:type="dxa" w:w="302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制造基地</w:t>
            </w:r>
          </w:p>
        </w:tc>
        <w:tc>
          <w:tcPr>
            <w:tcW w:type="dxa" w:w="302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62,411.39</w:t>
            </w:r>
          </w:p>
        </w:tc>
        <w:tc>
          <w:tcPr>
            <w:tcW w:type="dxa" w:w="302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规划年产7.5万台人形机器人＋11.5万台四足机器人</w:t>
            </w:r>
          </w:p>
        </w:tc>
      </w:tr>
      <w:tr>
        <w:tc>
          <w:tcPr>
            <w:tcW w:type="dxa" w:w="3022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SimSun"/>
                <w:b w:val="0"/>
                <w:sz w:val="22"/>
              </w:rPr>
              <w:t>合计</w:t>
            </w:r>
          </w:p>
        </w:tc>
        <w:tc>
          <w:tcPr>
            <w:tcW w:type="dxa" w:w="302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420,171.12</w:t>
            </w:r>
          </w:p>
        </w:tc>
        <w:tc>
          <w:tcPr>
            <w:tcW w:type="dxa" w:w="3022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eastAsia="SimSun"/>
                <w:b w:val="0"/>
                <w:sz w:val="22"/>
              </w:rPr>
              <w:t>约85%投向研发</w:t>
            </w:r>
          </w:p>
        </w:tc>
      </w:tr>
    </w:tbl>
    <w:p>
      <w:pPr>
        <w:spacing w:line="312" w:lineRule="auto" w:before="40" w:after="160"/>
      </w:pPr>
      <w:r>
        <w:rPr>
          <w:rFonts w:ascii="Times New Roman" w:hAnsi="Times New Roman" w:eastAsia="SimSun"/>
          <w:b w:val="0"/>
          <w:sz w:val="21"/>
        </w:rPr>
        <w:t>注：合计为计划募资总额口径。</w:t>
      </w:r>
    </w:p>
    <w:p>
      <w:pPr>
        <w:spacing w:line="360" w:lineRule="auto" w:before="280" w:after="160"/>
      </w:pPr>
      <w:r>
        <w:rPr>
          <w:rFonts w:ascii="SimHei" w:hAnsi="SimHei" w:eastAsia="SimHei"/>
          <w:b/>
          <w:sz w:val="32"/>
        </w:rPr>
        <w:t>五、竞争优势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（一）全栈自研降本与“以价换量”能力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公司核心部件自研，具备整机成本控制能力。人形机器人平均单价由2023年的59.34万元/台降至2024年26.07万元/台、2025年前三季度16.76万元/台，两年间累计下降超过40万元/台；同期人形销量由2023年5台增至2024年410台、2025年前三季度3,551台，“以价换量”能力已得到验证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（二）市占率与先发优势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四足机器人全球销量份额60%–70%【管理层表态：王兴兴2025年7月15日国新办中外记者见面会】；GGII统计公司2023年四足销量份额69.75%【机构数据】。人形机器人2025年出货超5,500台、全球第一，份额32.4%【机构数据：赛迪顾问】；第三方统计口径存在差异（Omdia口径4,200台、Counterpoint份额26.4%）【第三方机构口径】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（三）已验证的量产交付能力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截至2026年7月，公司纯双足人形机器人累计下线约18,000台【公司官方口径】；其中G1单款截至2026年5月下线约11,000台【公司官方口径】。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（四）盈利与现金流为正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公司2024年即实现扭亏，2025年扣非净利润约5.91亿元、经营现金流净额约6.70亿元，盈利与经营现金流均为正，区别于多数尚未盈利的同业公司。</w:t>
      </w:r>
    </w:p>
    <w:p>
      <w:pPr>
        <w:spacing w:line="360" w:lineRule="auto" w:before="280" w:after="160"/>
      </w:pPr>
      <w:r>
        <w:rPr>
          <w:rFonts w:ascii="SimHei" w:hAnsi="SimHei" w:eastAsia="SimHei"/>
          <w:b/>
          <w:sz w:val="32"/>
        </w:rPr>
        <w:t>六、增长变量（观察性讨论，非预测结论）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以下均为条件式、观察式讨论；涉及管理层表态、第三方机构数据与预测的内容均已标注性质，不构成既成事实，亦不构成公司业绩指引。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（一）人形机器人放量与降价换量的持续性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人形机器人收入占比已由2023年1.88%升至2025年51.78%。若“降价—放量”循环延续，收入端仍有支撑；但单价快速下探（59.34万元/台→16.76万元/台）能否持续换取销量增长、且不明显侵蚀60.13%的毛利率水平，有待观察。管理层曾公开表示2026年出货“至少翻一番”【管理层表态，非公司业绩指引】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（二）募投制造基地投产进度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募投制造基地规划年产7.5万台人形机器人、11.5万台四足机器人；其投产与爬坡进度将决定交付能力上限，需持续跟踪。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（三）场景从科研教育向工业/消费渗透的节奏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当前人形机器人收入73.60%来自科研教育，行业应用占比仅9.01%（其中真实生产场景占主营仅2.64%，待核验）。从科研教育向工业、消费场景渗透的节奏，是中期成长空间的关键观察变量。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（四）海外市场与地缘环境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境外收入占比由2022–2024年的55%以上降至2025年前三季度的39.20%（国内放量摊薄）；2025年美国市场占比13.3%（待核验）。2026年7月28日美国FCC禁令（禁新型号进口）对海外扩张构成不确定性，其实际影响程度有待观察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（五）大模型投入与产业化节奏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公司募投约85%投向研发，押注大模型（WMA/VLA路线），自研UnifoLM-X1-0已试点（路演披露）。关于通用人形机器人产业化时间，管理层公开表态为“快则2–3年、慢则5–10年”【管理层公开表态】，存在较大不确定性。第三方预测（仅供参考）：GGII预测2030年全球人形机器人销量60.57万台、150亿美元；摩根士丹利预测2030年全球900万台；SAG预测2026年全球约6万台【均为第三方预测，非已发生事实】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（六）竞争格局变化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2025年公司人形机器人出货全球第一（份额32.4%，赛迪顾问口径）；但2026年上半年第三方口径显示智元出货反超公司（机构统计口径存在差异，待核验）。行业竞争加剧对公司份额与定价策略的影响需持续跟踪。</w:t>
      </w:r>
    </w:p>
    <w:p>
      <w:pPr>
        <w:spacing w:line="360" w:lineRule="auto" w:before="280" w:after="160"/>
      </w:pPr>
      <w:r>
        <w:rPr>
          <w:rFonts w:ascii="SimHei" w:hAnsi="SimHei" w:eastAsia="SimHei"/>
          <w:b/>
          <w:sz w:val="32"/>
        </w:rPr>
        <w:t>七、主要风险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（一）估值与市场波动风险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发行市盈率219.23倍，显著高于同期行业市盈率38.56倍；上市首日上涨460.34%后回落（2026年8月20日收687元、8月24日收603.08元对应市值约2,439亿元、8月26日收591.53元；8月31日收564.90元、市值约2,285亿元——该交易日略晚于8月30日资料截止日，作补充标注）。8月底市值约2,285亿元对应2025年归母净利润的市盈率约821倍，高估值依赖高增长持续兑现；上市初流通股仅占7.44%，小流通盘放大波动。机构目标市值远低于现价：中信证券合理市值506–559亿元、野村目标价370元、建银国际269元【机构观点，非公司披露】，市场分歧巨大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（二）盈利质量风险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2026年一季度扣非净利润同比-52.55%、上半年同比-19.34%，呈“增收不增利”；研发费用（+152%）、销售费用（+250%，待核验）高速扩张，若费用增速持续快于收入增速，盈利将持续承压。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（三）客户与场景集中风险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人形机器人收入73.60%来自科研教育采购，真实工业场景占比极低（行业应用9.01%），商业化仍处早期，对科研教育采购依赖度较高（前五大客户合计占比12.09%，待核验）。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（四）地缘政治风险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2026年7月28日美国FCC禁令（限制新型号进口）及涉军清单等因素，可能影响公司海外业务（2025年美国市场收入占比13.3%，待核验）。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（五）竞争加剧风险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第三方口径显示2026年上半年智元出货反超（口径差异待核验）；行业参与者增加、价格竞争加剧，“以价换量”策略对毛利率的侵蚀存在不确定性。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（六）限售解禁风险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限售股自2027年起陆续解禁（实际控制人王兴兴锁定期36个月），流通盘扩容可能带来筹码供给压力。</w:t>
      </w:r>
    </w:p>
    <w:p>
      <w:pPr>
        <w:spacing w:line="360" w:lineRule="auto" w:before="200" w:after="120"/>
      </w:pPr>
      <w:r>
        <w:rPr>
          <w:rFonts w:ascii="SimHei" w:hAnsi="SimHei" w:eastAsia="SimHei"/>
          <w:b/>
          <w:sz w:val="26"/>
        </w:rPr>
        <w:t>（七）数据缺口风险</w:t>
      </w:r>
    </w:p>
    <w:p>
      <w:pPr>
        <w:spacing w:line="360" w:lineRule="auto" w:before="0" w:after="120"/>
        <w:ind w:firstLine="440"/>
      </w:pPr>
      <w:r>
        <w:rPr>
          <w:rFonts w:ascii="Times New Roman" w:hAnsi="Times New Roman" w:eastAsia="SimSun"/>
          <w:b w:val="0"/>
          <w:sz w:val="22"/>
        </w:rPr>
        <w:t>截至2026年8月30日，公司尚未披露2026年正式半年报，本报告上半年数据取自上市公告书；部分数据为单一来源或倒算值，均已标注（待核验），存在后续修正可能。</w:t>
      </w:r>
    </w:p>
    <w:p>
      <w:pPr>
        <w:spacing w:line="360" w:lineRule="auto" w:before="280" w:after="160"/>
      </w:pPr>
      <w:r>
        <w:rPr>
          <w:rFonts w:ascii="SimHei" w:hAnsi="SimHei" w:eastAsia="SimHei"/>
          <w:b/>
          <w:sz w:val="32"/>
        </w:rPr>
        <w:t>八、资料来源</w:t>
      </w:r>
    </w:p>
    <w:p>
      <w:pPr>
        <w:spacing w:line="336" w:lineRule="auto" w:before="0" w:after="60"/>
      </w:pPr>
      <w:r>
        <w:rPr>
          <w:rFonts w:ascii="Times New Roman" w:hAnsi="Times New Roman" w:eastAsia="SimSun"/>
          <w:b w:val="0"/>
          <w:sz w:val="22"/>
        </w:rPr>
        <w:t>1. 上海证券交易所688836公告列表（2026-08-30核验，含招股说明书正式稿2026-08-14、上市公告书2026-08-18；确认截至2026-08-30未披露2026年半年报）【官方披露】</w:t>
      </w:r>
    </w:p>
    <w:p>
      <w:pPr>
        <w:spacing w:line="336" w:lineRule="auto" w:before="0" w:after="60"/>
      </w:pPr>
      <w:r>
        <w:rPr>
          <w:rFonts w:ascii="Times New Roman" w:hAnsi="Times New Roman" w:eastAsia="SimSun"/>
          <w:b w:val="0"/>
          <w:sz w:val="22"/>
        </w:rPr>
        <w:t>2. 宇树科技招股说明书（注册稿，2026-06-02）、上市公告书（2026-08-18）、发行公告（2026-08-07）【官方披露】</w:t>
      </w:r>
    </w:p>
    <w:p>
      <w:pPr>
        <w:spacing w:line="336" w:lineRule="auto" w:before="0" w:after="60"/>
      </w:pPr>
      <w:r>
        <w:rPr>
          <w:rFonts w:ascii="Times New Roman" w:hAnsi="Times New Roman" w:eastAsia="SimSun"/>
          <w:b w:val="0"/>
          <w:sz w:val="22"/>
        </w:rPr>
        <w:t>3. 新华社（2026-06-01，过会报道）</w:t>
      </w:r>
    </w:p>
    <w:p>
      <w:pPr>
        <w:spacing w:line="336" w:lineRule="auto" w:before="0" w:after="60"/>
      </w:pPr>
      <w:r>
        <w:rPr>
          <w:rFonts w:ascii="Times New Roman" w:hAnsi="Times New Roman" w:eastAsia="SimSun"/>
          <w:b w:val="0"/>
          <w:sz w:val="22"/>
        </w:rPr>
        <w:t>4. 澎湃新闻（2026-03-20受理报道；2026-08-18）</w:t>
      </w:r>
    </w:p>
    <w:p>
      <w:pPr>
        <w:spacing w:line="336" w:lineRule="auto" w:before="0" w:after="60"/>
      </w:pPr>
      <w:r>
        <w:rPr>
          <w:rFonts w:ascii="Times New Roman" w:hAnsi="Times New Roman" w:eastAsia="SimSun"/>
          <w:b w:val="0"/>
          <w:sz w:val="22"/>
        </w:rPr>
        <w:t>5. 长江商报（2026-03-23，财务拆解，部分数据为单一来源）</w:t>
      </w:r>
    </w:p>
    <w:p>
      <w:pPr>
        <w:spacing w:line="336" w:lineRule="auto" w:before="0" w:after="60"/>
      </w:pPr>
      <w:r>
        <w:rPr>
          <w:rFonts w:ascii="Times New Roman" w:hAnsi="Times New Roman" w:eastAsia="SimSun"/>
          <w:b w:val="0"/>
          <w:sz w:val="22"/>
        </w:rPr>
        <w:t>6. 证券时报/券商中国（2026-05-25；2026-08-17）</w:t>
      </w:r>
    </w:p>
    <w:p>
      <w:pPr>
        <w:spacing w:line="336" w:lineRule="auto" w:before="0" w:after="60"/>
      </w:pPr>
      <w:r>
        <w:rPr>
          <w:rFonts w:ascii="Times New Roman" w:hAnsi="Times New Roman" w:eastAsia="SimSun"/>
          <w:b w:val="0"/>
          <w:sz w:val="22"/>
        </w:rPr>
        <w:t>7. 中新经纬（2026-07-02，注册生效报道）</w:t>
      </w:r>
    </w:p>
    <w:p>
      <w:pPr>
        <w:spacing w:line="336" w:lineRule="auto" w:before="0" w:after="60"/>
      </w:pPr>
      <w:r>
        <w:rPr>
          <w:rFonts w:ascii="Times New Roman" w:hAnsi="Times New Roman" w:eastAsia="SimSun"/>
          <w:b w:val="0"/>
          <w:sz w:val="22"/>
        </w:rPr>
        <w:t>8. 金融时报（2026-03-21；2026-05-26）</w:t>
      </w:r>
    </w:p>
    <w:p>
      <w:pPr>
        <w:spacing w:line="336" w:lineRule="auto" w:before="0" w:after="60"/>
      </w:pPr>
      <w:r>
        <w:rPr>
          <w:rFonts w:ascii="Times New Roman" w:hAnsi="Times New Roman" w:eastAsia="SimSun"/>
          <w:b w:val="0"/>
          <w:sz w:val="22"/>
        </w:rPr>
        <w:t>9. 第一财经（2026-08-19，上市首日报道）</w:t>
      </w:r>
    </w:p>
    <w:p>
      <w:pPr>
        <w:spacing w:line="336" w:lineRule="auto" w:before="0" w:after="60"/>
      </w:pPr>
      <w:r>
        <w:rPr>
          <w:rFonts w:ascii="Times New Roman" w:hAnsi="Times New Roman" w:eastAsia="SimSun"/>
          <w:b w:val="0"/>
          <w:sz w:val="22"/>
        </w:rPr>
        <w:t>10. 21世纪经济报道（2026-08-29）</w:t>
      </w:r>
    </w:p>
    <w:p>
      <w:pPr>
        <w:spacing w:line="336" w:lineRule="auto" w:before="0" w:after="60"/>
      </w:pPr>
      <w:r>
        <w:rPr>
          <w:rFonts w:ascii="Times New Roman" w:hAnsi="Times New Roman" w:eastAsia="SimSun"/>
          <w:b w:val="0"/>
          <w:sz w:val="22"/>
        </w:rPr>
        <w:t>11. 潮新闻（2026-03-20）</w:t>
      </w:r>
    </w:p>
    <w:p>
      <w:pPr>
        <w:spacing w:line="336" w:lineRule="auto" w:before="0" w:after="60"/>
      </w:pPr>
      <w:r>
        <w:rPr>
          <w:rFonts w:ascii="Times New Roman" w:hAnsi="Times New Roman" w:eastAsia="SimSun"/>
          <w:b w:val="0"/>
          <w:sz w:val="22"/>
        </w:rPr>
        <w:t>12. 财联社（2026-08-19）</w:t>
      </w:r>
    </w:p>
    <w:p>
      <w:pPr>
        <w:spacing w:line="336" w:lineRule="auto" w:before="0" w:after="60"/>
      </w:pPr>
      <w:r>
        <w:rPr>
          <w:rFonts w:ascii="Times New Roman" w:hAnsi="Times New Roman" w:eastAsia="SimSun"/>
          <w:b w:val="0"/>
          <w:sz w:val="22"/>
        </w:rPr>
        <w:t>13. 中国上市公司网（2026-08-18）</w:t>
      </w:r>
    </w:p>
    <w:p>
      <w:pPr>
        <w:spacing w:line="336" w:lineRule="auto" w:before="0" w:after="60"/>
      </w:pPr>
      <w:r>
        <w:rPr>
          <w:rFonts w:ascii="Times New Roman" w:hAnsi="Times New Roman" w:eastAsia="SimSun"/>
          <w:b w:val="0"/>
          <w:sz w:val="22"/>
        </w:rPr>
        <w:t>14. 宇树科技官方X声明（2025-09-02）【公司官方】</w:t>
      </w:r>
    </w:p>
    <w:p>
      <w:pPr>
        <w:spacing w:line="336" w:lineRule="auto" w:before="0" w:after="60"/>
      </w:pPr>
      <w:r>
        <w:rPr>
          <w:rFonts w:ascii="Times New Roman" w:hAnsi="Times New Roman" w:eastAsia="SimSun"/>
          <w:b w:val="0"/>
          <w:sz w:val="22"/>
        </w:rPr>
        <w:t>15. 王兴兴出席国新办中外记者见面会表态（2025-07-15，四足全球销量份额60%–70%）【管理层表态】</w:t>
      </w:r>
    </w:p>
    <w:p>
      <w:pPr>
        <w:spacing w:line="336" w:lineRule="auto" w:before="0" w:after="60"/>
      </w:pPr>
      <w:r>
        <w:rPr>
          <w:rFonts w:ascii="Times New Roman" w:hAnsi="Times New Roman" w:eastAsia="SimSun"/>
          <w:b w:val="0"/>
          <w:sz w:val="22"/>
        </w:rPr>
        <w:t>16. 赛迪顾问2025年人形机器人市场研究（2025年人形出货超5,500台、份额32.4%）【机构数据】</w:t>
      </w:r>
    </w:p>
    <w:p>
      <w:pPr>
        <w:spacing w:line="336" w:lineRule="auto" w:before="0" w:after="60"/>
      </w:pPr>
      <w:r>
        <w:rPr>
          <w:rFonts w:ascii="Times New Roman" w:hAnsi="Times New Roman" w:eastAsia="SimSun"/>
          <w:b w:val="0"/>
          <w:sz w:val="22"/>
        </w:rPr>
        <w:t>17. GGII高工机器人（2023年四足销量份额69.75%；2030年全球人形销量预测60.57万台/150亿美元）【机构数据/第三方预测】</w:t>
      </w:r>
    </w:p>
    <w:p>
      <w:pPr>
        <w:spacing w:line="336" w:lineRule="auto" w:before="0" w:after="60"/>
      </w:pPr>
      <w:r>
        <w:rPr>
          <w:rFonts w:ascii="Times New Roman" w:hAnsi="Times New Roman" w:eastAsia="SimSun"/>
          <w:b w:val="0"/>
          <w:sz w:val="22"/>
        </w:rPr>
        <w:t>18. Omdia、Counterpoint（2026年1月报道，人形机器人出货与份额第三方统计口径）【机构数据】</w:t>
      </w:r>
    </w:p>
    <w:p>
      <w:pPr>
        <w:spacing w:line="336" w:lineRule="auto" w:before="0" w:after="60"/>
      </w:pPr>
      <w:r>
        <w:rPr>
          <w:rFonts w:ascii="Times New Roman" w:hAnsi="Times New Roman" w:eastAsia="SimSun"/>
          <w:b w:val="0"/>
          <w:sz w:val="22"/>
        </w:rPr>
        <w:t>19. 中信证券、野村、建银国际研报（2026年8月报道，目标市值/目标价观点）【机构观点】</w:t>
      </w:r>
    </w:p>
    <w:p>
      <w:pPr>
        <w:spacing w:line="360" w:lineRule="auto" w:before="280" w:after="160"/>
      </w:pPr>
      <w:r>
        <w:rPr>
          <w:rFonts w:ascii="SimHei" w:hAnsi="SimHei" w:eastAsia="SimHei"/>
          <w:b/>
          <w:sz w:val="32"/>
        </w:rPr>
        <w:t>附注：口径与局限性说明</w:t>
      </w:r>
    </w:p>
    <w:p>
      <w:pPr>
        <w:spacing w:line="360" w:lineRule="auto" w:before="0" w:after="120"/>
      </w:pPr>
      <w:r>
        <w:rPr>
          <w:rFonts w:ascii="Times New Roman" w:hAnsi="Times New Roman" w:eastAsia="SimSun"/>
          <w:b w:val="0"/>
          <w:sz w:val="22"/>
        </w:rPr>
        <w:t>1. 报告期口径：本报告以招股说明书注册稿/上市公告书（2023–2025年度经审计）为主分析口径；2022年度数据为申报稿口径（不在注册稿报告期内）；2026年上半年数据取自上市公告书。注册稿与申报稿存在差异，例如：2024年营业收入注册稿倒算值约39,276.6万元，申报稿审计值为39,237.06万元；2024年归母净利润注册稿9,547.47万元，申报稿9,450.18万元；2024年主营业务毛利率注册稿56.74%，申报稿56.41%（2025年申报稿经审阅值60.27%）。主营业务收入同比增速披露口径亦有差异：申报稿口径2023年+29.95%、2024年+145.83%、2025年+335.31%，注册稿营收口径2025年+332.64%。</w:t>
      </w:r>
    </w:p>
    <w:p>
      <w:pPr>
        <w:spacing w:line="360" w:lineRule="auto" w:before="0" w:after="120"/>
      </w:pPr>
      <w:r>
        <w:rPr>
          <w:rFonts w:ascii="Times New Roman" w:hAnsi="Times New Roman" w:eastAsia="SimSun"/>
          <w:b w:val="0"/>
          <w:sz w:val="22"/>
        </w:rPr>
        <w:t>2. 倒算值：分产品“组件及其他”收入与主营业务收入合计为倒算值；2024年营业收入为倒算约数；2026年上半年研发费用率（约11.8%）为倒算值，文中均已标注。</w:t>
      </w:r>
    </w:p>
    <w:p>
      <w:pPr>
        <w:spacing w:line="360" w:lineRule="auto" w:before="0" w:after="120"/>
      </w:pPr>
      <w:r>
        <w:rPr>
          <w:rFonts w:ascii="Times New Roman" w:hAnsi="Times New Roman" w:eastAsia="SimSun"/>
          <w:b w:val="0"/>
          <w:sz w:val="22"/>
        </w:rPr>
        <w:t>3. 待核验项：2025年末员工516人、2025年全年境外收入（73,200万元/占43.65%一说与“同比+109.91%”矛盾）、四足2025年销量约25,500台、人形2025年销量5,215台（芝能科技口径）、人形机器人毛利率约62.9%、2026年上半年毛利率56.01%、2026年一季度经营现金流3,439.96万元、美国市场占比13.3%、前五大客户合计20,500万元/占12.09%、销售费用+250%、2022年及2023年经营活动现金流净额（-3,019.73万元、494.25万元，单一来源精确值）等，均为单一来源或约数。待核验事项的完整清单与建议核验渠道，可参考配套Excel底稿《宇树科技_经营与财务分析底稿.xlsx》之“待核验事项”表。</w:t>
      </w:r>
    </w:p>
    <w:p>
      <w:pPr>
        <w:spacing w:line="360" w:lineRule="auto" w:before="0" w:after="120"/>
      </w:pPr>
      <w:r>
        <w:rPr>
          <w:rFonts w:ascii="Times New Roman" w:hAnsi="Times New Roman" w:eastAsia="SimSun"/>
          <w:b w:val="0"/>
          <w:sz w:val="22"/>
        </w:rPr>
        <w:t>4. 免责声明：本报告基于公开披露信息整理，不构成投资建议；文中预测类、表态类内容均已与事实严格区分并标注性质。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