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广东江南理工教育集团 AI 人力降本 200 万目标执行方案</w:t>
      </w:r>
    </w:p>
    <w:p>
      <w:pPr>
        <w:pStyle w:val="Subtitle"/>
      </w:pPr>
      <w:r>
        <w:t>面向董事长与业务负责人的可填报决策稿</w:t>
      </w:r>
    </w:p>
    <w:p>
      <w:pPr>
        <w:pStyle w:val="SmallText"/>
      </w:pPr>
      <w:r>
        <w:t>决策目标：启动后首 12 个月累计减少人力成本不少于 200 万元，并同时评估扣除过渡和 AI 费用后净现金节约 200 万元的挑战目标。集团约 300 名员工、位于广州及四类业务由用户提供；校区、岗位、薪酬、合同和系统尚未核实。具体岗位与金额均为情景假设，达到目标仍需真实数据验证。</w:t>
      </w:r>
    </w:p>
    <w:p>
      <w:pPr>
        <w:pStyle w:val="Heading1"/>
      </w:pPr>
      <w:r>
        <w:t>一 决策建议</w:t>
      </w:r>
    </w:p>
    <w:p>
      <w:r>
        <w:t>董事长的首要目标是以 AI 和流程重组优化现有约 300 人编制，并兑现至少 200 万元年度人力成本节约。建议批准 15 天基线核查和 90 天受控试点，优先验证招生咨询、教务材料和行政共享流程。教师备课作为质量试点，不预先计入减编。第 90 天提交按法人、校区、岗位核准的可调整上限、分月现金流和劳动用工路径。</w:t>
      </w:r>
    </w:p>
    <w:p>
      <w:r>
        <w:t>编制决策按四层计算：任务节省的工时、可释放产能、满足教学与服务底线后可调整的岗位、通过合法路径实际减少的岗位。只有最后一层产生确定的工资现金节约。集团当前缺少岗位分布、薪酬与业务量，因此本文件不填造裁减人数。</w:t>
      </w:r>
    </w:p>
    <w:p>
      <w:pPr>
        <w:pStyle w:val="Heading1"/>
      </w:pPr>
      <w:r>
        <w:t>二 全球证据如何用于本集团</w:t>
      </w:r>
    </w:p>
    <w:p>
      <w:r>
        <w:t>一项覆盖 5,179 名客服人员的研究发现，AI 助手使每小时解决的问题平均增加约 14%，且对经验较少的人员帮助更大。这为招生咨询与服务流程提供了试点依据，但不构成本集团的收益预测。世界银行在尼日利亚的六周高中生随机试验中，教师指导下的 AI 辅导带来 0.31 个标准差的综合学习增益。该结果支持教师参与的教学试验，不能直接套用于集团学生。</w:t>
      </w:r>
    </w:p>
    <w:p>
      <w:r>
        <w:t>OECD 的 TALIS 2024 调查显示，教师 AI 使用与培训情况在不同教育体系间差异明显。联合国教科文组织强调人的主导、教师能力建设和隐私保护。因此，项目同时衡量效率与教育质量。</w:t>
      </w:r>
    </w:p>
    <w:p>
      <w:pPr>
        <w:pStyle w:val="Heading1"/>
      </w:pPr>
      <w:r>
        <w:t>三 五条业务线的应用边界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4032"/>
        <w:gridCol w:w="1728"/>
        <w:gridCol w:w="2621"/>
      </w:tblGrid>
      <w:tr>
        <w:trPr>
          <w:tblHeader/>
        </w:trPr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业务</w:t>
            </w:r>
          </w:p>
        </w:tc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首批工作流</w:t>
            </w:r>
          </w:p>
        </w:tc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最终责任人</w:t>
            </w:r>
          </w:p>
        </w:tc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主要指标</w:t>
            </w:r>
          </w:p>
        </w:tc>
      </w:tr>
      <w:tr>
        <w:tc>
          <w:tcPr>
            <w:tcW w:type="dxa" w:w="161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招生咨询</w:t>
            </w:r>
          </w:p>
        </w:tc>
        <w:tc>
          <w:tcPr>
            <w:tcW w:type="dxa" w:w="403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核准信息检索、答复草稿、咨询摘要与跟进提醒</w:t>
            </w:r>
          </w:p>
        </w:tc>
        <w:tc>
          <w:tcPr>
            <w:tcW w:type="dxa" w:w="172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招生顾问</w:t>
            </w:r>
          </w:p>
        </w:tc>
        <w:tc>
          <w:tcPr>
            <w:tcW w:type="dxa" w:w="262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响应时间、有效咨询转报名率、投诉率</w:t>
            </w:r>
          </w:p>
        </w:tc>
      </w:tr>
      <w:tr>
        <w:tc>
          <w:tcPr>
            <w:tcW w:type="dxa" w:w="161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综合高中</w:t>
            </w:r>
          </w:p>
        </w:tc>
        <w:tc>
          <w:tcPr>
            <w:tcW w:type="dxa" w:w="403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备课、分层练习草稿、教师反馈整理</w:t>
            </w:r>
          </w:p>
        </w:tc>
        <w:tc>
          <w:tcPr>
            <w:tcW w:type="dxa" w:w="172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任课教师</w:t>
            </w:r>
          </w:p>
        </w:tc>
        <w:tc>
          <w:tcPr>
            <w:tcW w:type="dxa" w:w="262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备课时间、作业质量、学习结果</w:t>
            </w:r>
          </w:p>
        </w:tc>
      </w:tr>
      <w:tr>
        <w:tc>
          <w:tcPr>
            <w:tcW w:type="dxa" w:w="161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职业教育</w:t>
            </w:r>
          </w:p>
        </w:tc>
        <w:tc>
          <w:tcPr>
            <w:tcW w:type="dxa" w:w="403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课程与岗位要求对照、实训任务草稿</w:t>
            </w:r>
          </w:p>
        </w:tc>
        <w:tc>
          <w:tcPr>
            <w:tcW w:type="dxa" w:w="172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专业负责人</w:t>
            </w:r>
          </w:p>
        </w:tc>
        <w:tc>
          <w:tcPr>
            <w:tcW w:type="dxa" w:w="262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课程更新周期、实训质量</w:t>
            </w:r>
          </w:p>
        </w:tc>
      </w:tr>
      <w:tr>
        <w:tc>
          <w:tcPr>
            <w:tcW w:type="dxa" w:w="161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技能认定</w:t>
            </w:r>
          </w:p>
        </w:tc>
        <w:tc>
          <w:tcPr>
            <w:tcW w:type="dxa" w:w="403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材料缺项检查、考务排程、异常提示</w:t>
            </w:r>
          </w:p>
        </w:tc>
        <w:tc>
          <w:tcPr>
            <w:tcW w:type="dxa" w:w="172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授权考评人员</w:t>
            </w:r>
          </w:p>
        </w:tc>
        <w:tc>
          <w:tcPr>
            <w:tcW w:type="dxa" w:w="262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一次通过率、复核差错</w:t>
            </w:r>
          </w:p>
        </w:tc>
      </w:tr>
      <w:tr>
        <w:tc>
          <w:tcPr>
            <w:tcW w:type="dxa" w:w="161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国际教育</w:t>
            </w:r>
          </w:p>
        </w:tc>
        <w:tc>
          <w:tcPr>
            <w:tcW w:type="dxa" w:w="403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翻译、申请材料核查、合作院校资料检索</w:t>
            </w:r>
          </w:p>
        </w:tc>
        <w:tc>
          <w:tcPr>
            <w:tcW w:type="dxa" w:w="172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国际教育顾问</w:t>
            </w:r>
          </w:p>
        </w:tc>
        <w:tc>
          <w:tcPr>
            <w:tcW w:type="dxa" w:w="262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材料退回率、办理时长</w:t>
            </w:r>
          </w:p>
        </w:tc>
      </w:tr>
    </w:tbl>
    <w:p>
      <w:pPr>
        <w:spacing w:after="40"/>
      </w:pPr>
    </w:p>
    <w:p>
      <w:r>
        <w:t>第一批试点优先选择可核对、可计时、可由人员复核的任务。技能认定结论、学生评价、重要招生建议和员工考核保留人工判断。</w:t>
      </w:r>
    </w:p>
    <w:p>
      <w:pPr>
        <w:pStyle w:val="Heading1"/>
      </w:pPr>
      <w:r>
        <w:t>四 90 天执行计划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440"/>
        <w:gridCol w:w="4104"/>
        <w:gridCol w:w="3370"/>
      </w:tblGrid>
      <w:tr>
        <w:trPr>
          <w:tblHeader/>
        </w:trPr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验收条件</w:t>
            </w:r>
          </w:p>
        </w:tc>
      </w:tr>
      <w:tr>
        <w:tc>
          <w:tcPr>
            <w:tcW w:type="dxa" w:w="108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摸底</w:t>
            </w:r>
          </w:p>
        </w:tc>
        <w:tc>
          <w:tcPr>
            <w:tcW w:type="dxa" w:w="144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第 1 至 15 天</w:t>
            </w:r>
          </w:p>
        </w:tc>
        <w:tc>
          <w:tcPr>
            <w:tcW w:type="dxa" w:w="410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任务量与耗时基线、数据清单、系统接口清单</w:t>
            </w:r>
          </w:p>
        </w:tc>
        <w:tc>
          <w:tcPr>
            <w:tcW w:type="dxa" w:w="337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能说明当前成本、质量和负责人</w:t>
            </w:r>
          </w:p>
        </w:tc>
      </w:tr>
      <w:tr>
        <w:tc>
          <w:tcPr>
            <w:tcW w:type="dxa" w:w="108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搭建</w:t>
            </w:r>
          </w:p>
        </w:tc>
        <w:tc>
          <w:tcPr>
            <w:tcW w:type="dxa" w:w="144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第 16 至 30 天</w:t>
            </w:r>
          </w:p>
        </w:tc>
        <w:tc>
          <w:tcPr>
            <w:tcW w:type="dxa" w:w="410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审核知识库、权限、转人工流程、历史案例测试</w:t>
            </w:r>
          </w:p>
        </w:tc>
        <w:tc>
          <w:tcPr>
            <w:tcW w:type="dxa" w:w="337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错误可被发现、纠正和追溯</w:t>
            </w:r>
          </w:p>
        </w:tc>
      </w:tr>
      <w:tr>
        <w:tc>
          <w:tcPr>
            <w:tcW w:type="dxa" w:w="108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试点</w:t>
            </w:r>
          </w:p>
        </w:tc>
        <w:tc>
          <w:tcPr>
            <w:tcW w:type="dxa" w:w="144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第 31 至 60 天</w:t>
            </w:r>
          </w:p>
        </w:tc>
        <w:tc>
          <w:tcPr>
            <w:tcW w:type="dxa" w:w="410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约 60 人跨岗位试点，对照原流程</w:t>
            </w:r>
          </w:p>
        </w:tc>
        <w:tc>
          <w:tcPr>
            <w:tcW w:type="dxa" w:w="337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每周检查效率、投诉、差错和学习结果</w:t>
            </w:r>
          </w:p>
        </w:tc>
      </w:tr>
      <w:tr>
        <w:tc>
          <w:tcPr>
            <w:tcW w:type="dxa" w:w="108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决策</w:t>
            </w:r>
          </w:p>
        </w:tc>
        <w:tc>
          <w:tcPr>
            <w:tcW w:type="dxa" w:w="144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第 61 至 90 天</w:t>
            </w:r>
          </w:p>
        </w:tc>
        <w:tc>
          <w:tcPr>
            <w:tcW w:type="dxa" w:w="410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净收益报告、扩展计划或停止理由</w:t>
            </w:r>
          </w:p>
        </w:tc>
        <w:tc>
          <w:tcPr>
            <w:tcW w:type="dxa" w:w="337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质量不下降且收益可重复</w:t>
            </w:r>
          </w:p>
        </w:tc>
      </w:tr>
    </w:tbl>
    <w:p>
      <w:pPr>
        <w:spacing w:after="40"/>
      </w:pPr>
    </w:p>
    <w:p>
      <w:r>
        <w:rPr>
          <w:b/>
        </w:rPr>
        <w:t>项目小组</w:t>
      </w:r>
      <w:r>
        <w:t>从现有团队抽调 4 至 6 人，覆盖业务、教学、信息技术与合规。五条业务线各指定一名对指标负责的人。试点成员需要学会核查答案、保护学生信息以及识别应转人工的情况。</w:t>
      </w:r>
    </w:p>
    <w:p>
      <w:pPr>
        <w:pStyle w:val="Heading1"/>
      </w:pPr>
      <w:r>
        <w:t>五 经营仪表盘与收益测算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4522"/>
      </w:tblGrid>
      <w:tr>
        <w:trPr>
          <w:tblHeader/>
        </w:trPr>
        <w:tc>
          <w:tcPr>
            <w:tcW w:type="dxa" w:w="333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33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每周至少看什么</w:t>
            </w:r>
          </w:p>
        </w:tc>
        <w:tc>
          <w:tcPr>
            <w:tcW w:type="dxa" w:w="333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判断方式</w:t>
            </w:r>
          </w:p>
        </w:tc>
      </w:tr>
      <w:tr>
        <w:tc>
          <w:tcPr>
            <w:tcW w:type="dxa" w:w="115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招生</w:t>
            </w:r>
          </w:p>
        </w:tc>
        <w:tc>
          <w:tcPr>
            <w:tcW w:type="dxa" w:w="43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响应时间、有效咨询转报名率、投诉率</w:t>
            </w:r>
          </w:p>
        </w:tc>
        <w:tc>
          <w:tcPr>
            <w:tcW w:type="dxa" w:w="452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与同口径历史或对照组比较</w:t>
            </w:r>
          </w:p>
        </w:tc>
      </w:tr>
      <w:tr>
        <w:tc>
          <w:tcPr>
            <w:tcW w:type="dxa" w:w="115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教学</w:t>
            </w:r>
          </w:p>
        </w:tc>
        <w:tc>
          <w:tcPr>
            <w:tcW w:type="dxa" w:w="43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备课时间、作业质量、学生结果</w:t>
            </w:r>
          </w:p>
        </w:tc>
        <w:tc>
          <w:tcPr>
            <w:tcW w:type="dxa" w:w="452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不能仅凭教师自报节时</w:t>
            </w:r>
          </w:p>
        </w:tc>
      </w:tr>
      <w:tr>
        <w:tc>
          <w:tcPr>
            <w:tcW w:type="dxa" w:w="115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运营</w:t>
            </w:r>
          </w:p>
        </w:tc>
        <w:tc>
          <w:tcPr>
            <w:tcW w:type="dxa" w:w="43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材料处理时长、一次通过率、复核差错</w:t>
            </w:r>
          </w:p>
        </w:tc>
        <w:tc>
          <w:tcPr>
            <w:tcW w:type="dxa" w:w="452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记录人工复核投入</w:t>
            </w:r>
          </w:p>
        </w:tc>
      </w:tr>
      <w:tr>
        <w:tc>
          <w:tcPr>
            <w:tcW w:type="dxa" w:w="115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财务</w:t>
            </w:r>
          </w:p>
        </w:tc>
        <w:tc>
          <w:tcPr>
            <w:tcW w:type="dxa" w:w="43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增量毛利、工具费用、实施费用</w:t>
            </w:r>
          </w:p>
        </w:tc>
        <w:tc>
          <w:tcPr>
            <w:tcW w:type="dxa" w:w="452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计算净收益和回收期</w:t>
            </w:r>
          </w:p>
        </w:tc>
      </w:tr>
      <w:tr>
        <w:tc>
          <w:tcPr>
            <w:tcW w:type="dxa" w:w="115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员工</w:t>
            </w:r>
          </w:p>
        </w:tc>
        <w:tc>
          <w:tcPr>
            <w:tcW w:type="dxa" w:w="43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工具使用率、工作负担、服务学生时间</w:t>
            </w:r>
          </w:p>
        </w:tc>
        <w:tc>
          <w:tcPr>
            <w:tcW w:type="dxa" w:w="452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检查是否出现额外劳动</w:t>
            </w:r>
          </w:p>
        </w:tc>
      </w:tr>
    </w:tbl>
    <w:p>
      <w:pPr>
        <w:spacing w:after="40"/>
      </w:pPr>
    </w:p>
    <w:p>
      <w:r>
        <w:t>测算示例：300 人每人每周节省 1.5 小时，一年按 46 周计算，释放 20,700 小时。若每年按 1,800 小时折算，约相当于 11.5 个全职岗位的工作量。这是集团总体产能示例，不能直接按 11.5 人减编：释放时间可能分散在不可合并的岗位，也可能被教学与服务底线吸收。</w:t>
      </w:r>
    </w:p>
    <w:p>
      <w:r>
        <w:t>第 12 个月年化工资节约 = 届时已实际减少的岗位数 × 对应岗位年全成本。首 12 个月净现金节约 = 各岗位实际离岗后剩余月份占比 × 年全成本之和 − 过渡成本 − AI 工具、实施与复核成本。未获批准的招聘名额或外包预算，应以冻结前的已批准预算为基线另列，不能与实际离岗节约重复计算。</w:t>
      </w:r>
    </w:p>
    <w:p>
      <w:pPr>
        <w:pStyle w:val="Heading1"/>
      </w:pPr>
      <w:r>
        <w:t>六 技术与数据治理</w:t>
      </w:r>
    </w:p>
    <w:p>
      <w:r>
        <w:t>先建立经审核的课程、收费、考务和合作院校知识库，再采购通用模型能力。员工工作台按岗位授权；对外答复显示资料来源和更新日期；资料失效或置信不足时转人工。系统保留访问、修改、复核与投诉记录，安排周期性抽检。</w:t>
      </w:r>
    </w:p>
    <w:p>
      <w:r>
        <w:t>学生与员工个人信息应先分类，再确定可使用的工具、处理目的、保存期限和供应商条件。不满十四周岁未成年人的个人信息属于敏感个人信息。涉及重大权益的自动化决定应提供说明与人工处理路径。适用的合同、跨境传输和备案事项，应由集团法务结合实际系统审查。</w:t>
      </w:r>
    </w:p>
    <w:p>
      <w:pPr>
        <w:pStyle w:val="Heading1"/>
      </w:pPr>
      <w:r>
        <w:t>七 第 90 天的扩展门槛</w:t>
      </w:r>
    </w:p>
    <w:p>
      <w:r>
        <w:t>每个场景单独作出扩展、修改或停止决定。扩展须同时满足：业务结果相对基线改善；严重事实错误、投诉和差错未上升；人工复核工作量已计入成本；员工能稳定执行流程；所用资料与数据处理方式通过审查。</w:t>
      </w:r>
    </w:p>
    <w:p>
      <w:r>
        <w:t>董事长目前只需批准两件事：一是两周基线调查，要求各业务线提交前三项重复任务、月处理量、差错率和所用系统；二是授权完成基线后启动 90 天试点。正式采购预算应在系统盘点、数据审查和供应商报价后提交。</w:t>
      </w:r>
    </w:p>
    <w:p>
      <w:pPr>
        <w:pStyle w:val="Heading1"/>
      </w:pPr>
      <w:r>
        <w:t>八 岗位编制测算口径</w:t>
      </w:r>
    </w:p>
    <w:p>
      <w:r>
        <w:t>随附工作簿提供总览、岗位测算与任务基线三个工作表。各法定用人主体先分别填报，再在集团层面汇总；不同法人、不同劳动合同主体和不同办学许可证下的岗位不能直接相互抵销。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320"/>
        <w:gridCol w:w="1483"/>
        <w:gridCol w:w="2678"/>
      </w:tblGrid>
      <w:tr>
        <w:trPr>
          <w:tblHeader/>
        </w:trPr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计算口径</w:t>
            </w:r>
          </w:p>
        </w:tc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必须核对</w:t>
            </w:r>
          </w:p>
        </w:tc>
      </w:tr>
      <w:tr>
        <w:tc>
          <w:tcPr>
            <w:tcW w:type="dxa" w:w="151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任务节时</w:t>
            </w:r>
          </w:p>
        </w:tc>
        <w:tc>
          <w:tcPr>
            <w:tcW w:type="dxa" w:w="43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月件数 × 每件前后净节时 × 12</w:t>
            </w:r>
          </w:p>
        </w:tc>
        <w:tc>
          <w:tcPr>
            <w:tcW w:type="dxa" w:w="148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流程负责人</w:t>
            </w:r>
          </w:p>
        </w:tc>
        <w:tc>
          <w:tcPr>
            <w:tcW w:type="dxa" w:w="267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AI 后耗时包含人工复核</w:t>
            </w:r>
          </w:p>
        </w:tc>
      </w:tr>
      <w:tr>
        <w:tc>
          <w:tcPr>
            <w:tcW w:type="dxa" w:w="151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产能折算</w:t>
            </w:r>
          </w:p>
        </w:tc>
        <w:tc>
          <w:tcPr>
            <w:tcW w:type="dxa" w:w="43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年度净节时 ÷ 每岗年有效工时</w:t>
            </w:r>
          </w:p>
        </w:tc>
        <w:tc>
          <w:tcPr>
            <w:tcW w:type="dxa" w:w="148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人事与财务</w:t>
            </w:r>
          </w:p>
        </w:tc>
        <w:tc>
          <w:tcPr>
            <w:tcW w:type="dxa" w:w="267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工时不可跨岗位任意相加</w:t>
            </w:r>
          </w:p>
        </w:tc>
      </w:tr>
      <w:tr>
        <w:tc>
          <w:tcPr>
            <w:tcW w:type="dxa" w:w="151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岗位上限</w:t>
            </w:r>
          </w:p>
        </w:tc>
        <w:tc>
          <w:tcPr>
            <w:tcW w:type="dxa" w:w="43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释放产能与现有人数减服务底线、增长预留及转岗数的较小值</w:t>
            </w:r>
          </w:p>
        </w:tc>
        <w:tc>
          <w:tcPr>
            <w:tcW w:type="dxa" w:w="148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业务与人事</w:t>
            </w:r>
          </w:p>
        </w:tc>
        <w:tc>
          <w:tcPr>
            <w:tcW w:type="dxa" w:w="267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教师资格、考评授权、排班与招生季</w:t>
            </w:r>
          </w:p>
        </w:tc>
      </w:tr>
      <w:tr>
        <w:tc>
          <w:tcPr>
            <w:tcW w:type="dxa" w:w="151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实际离岗</w:t>
            </w:r>
          </w:p>
        </w:tc>
        <w:tc>
          <w:tcPr>
            <w:tcW w:type="dxa" w:w="43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经过业务批准及合法劳动用工程序后确定的岗位数</w:t>
            </w:r>
          </w:p>
        </w:tc>
        <w:tc>
          <w:tcPr>
            <w:tcW w:type="dxa" w:w="148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人事与法务</w:t>
            </w:r>
          </w:p>
        </w:tc>
        <w:tc>
          <w:tcPr>
            <w:tcW w:type="dxa" w:w="267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合同、补偿、沟通和适用程序</w:t>
            </w:r>
          </w:p>
        </w:tc>
      </w:tr>
      <w:tr>
        <w:tc>
          <w:tcPr>
            <w:tcW w:type="dxa" w:w="151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现金节约</w:t>
            </w:r>
          </w:p>
        </w:tc>
        <w:tc>
          <w:tcPr>
            <w:tcW w:type="dxa" w:w="43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实际离岗数 × 年全成本 − 过渡及 AI 成本</w:t>
            </w:r>
          </w:p>
        </w:tc>
        <w:tc>
          <w:tcPr>
            <w:tcW w:type="dxa" w:w="148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财务</w:t>
            </w:r>
          </w:p>
        </w:tc>
        <w:tc>
          <w:tcPr>
            <w:tcW w:type="dxa" w:w="267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只在实际发生时入账</w:t>
            </w:r>
          </w:p>
        </w:tc>
      </w:tr>
    </w:tbl>
    <w:p>
      <w:pPr>
        <w:spacing w:after="40"/>
      </w:pPr>
    </w:p>
    <w:p>
      <w:r>
        <w:t>测算上限是供董事长讨论的容量边界，并非解除任何劳动合同的授权。对教师、班主任、考评和学生安全相关岗位，业务负责人先签字确认最低覆盖，再开展人员方案。</w:t>
      </w:r>
    </w:p>
    <w:p>
      <w:pPr>
        <w:pStyle w:val="Heading1"/>
      </w:pPr>
      <w:r>
        <w:t>九 三个试点流程的操作卡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3"/>
        <w:gridCol w:w="2822"/>
        <w:gridCol w:w="2347"/>
        <w:gridCol w:w="3341"/>
      </w:tblGrid>
      <w:tr>
        <w:trPr>
          <w:tblHeader/>
        </w:trPr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流程</w:t>
            </w:r>
          </w:p>
        </w:tc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输入与触发</w:t>
            </w:r>
          </w:p>
        </w:tc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AI 输出</w:t>
            </w:r>
          </w:p>
        </w:tc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人工复核与转交</w:t>
            </w:r>
          </w:p>
        </w:tc>
      </w:tr>
      <w:tr>
        <w:tc>
          <w:tcPr>
            <w:tcW w:type="dxa" w:w="148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招生咨询</w:t>
            </w:r>
          </w:p>
        </w:tc>
        <w:tc>
          <w:tcPr>
            <w:tcW w:type="dxa" w:w="282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收到咨询；引用当期核准的专业、收费和招生政策</w:t>
            </w:r>
          </w:p>
        </w:tc>
        <w:tc>
          <w:tcPr>
            <w:tcW w:type="dxa" w:w="234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答复草稿、需求标签、下次跟进时间</w:t>
            </w:r>
          </w:p>
        </w:tc>
        <w:tc>
          <w:tcPr>
            <w:tcW w:type="dxa" w:w="334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顾问核实收费与升学承诺；特殊、投诉和不确定问题转主管</w:t>
            </w:r>
          </w:p>
        </w:tc>
      </w:tr>
      <w:tr>
        <w:tc>
          <w:tcPr>
            <w:tcW w:type="dxa" w:w="148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教务材料</w:t>
            </w:r>
          </w:p>
        </w:tc>
        <w:tc>
          <w:tcPr>
            <w:tcW w:type="dxa" w:w="282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收到报名或申请材料；使用字段清单与现行要求</w:t>
            </w:r>
          </w:p>
        </w:tc>
        <w:tc>
          <w:tcPr>
            <w:tcW w:type="dxa" w:w="234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缺项清单、文件摘要、待核问题</w:t>
            </w:r>
          </w:p>
        </w:tc>
        <w:tc>
          <w:tcPr>
            <w:tcW w:type="dxa" w:w="334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教务人员核身份及原件；资格和最终结果由授权人员决定</w:t>
            </w:r>
          </w:p>
        </w:tc>
      </w:tr>
      <w:tr>
        <w:tc>
          <w:tcPr>
            <w:tcW w:type="dxa" w:w="148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行政共享</w:t>
            </w:r>
          </w:p>
        </w:tc>
        <w:tc>
          <w:tcPr>
            <w:tcW w:type="dxa" w:w="282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收到票据、制度咨询或例行报表任务</w:t>
            </w:r>
          </w:p>
        </w:tc>
        <w:tc>
          <w:tcPr>
            <w:tcW w:type="dxa" w:w="234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预分类、摘要、报表和答复草稿</w:t>
            </w:r>
          </w:p>
        </w:tc>
        <w:tc>
          <w:tcPr>
            <w:tcW w:type="dxa" w:w="334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财务或人事人员核验金额、权限和制度版本；审批由人决定</w:t>
            </w:r>
          </w:p>
        </w:tc>
      </w:tr>
    </w:tbl>
    <w:p>
      <w:pPr>
        <w:spacing w:after="40"/>
      </w:pPr>
    </w:p>
    <w:p>
      <w:r>
        <w:t>每笔试点记录至少包括：日期、校区、流程、任务类型、前后处理分钟数、复核分钟数、是否出错、错误等级、是否转人工、最终结果和负责人。学生姓名、身份证号等不放入一般试点日志。</w:t>
      </w:r>
    </w:p>
    <w:p>
      <w:pPr>
        <w:pStyle w:val="Heading1"/>
      </w:pPr>
      <w:r>
        <w:t>十 每周验收指标定义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4320"/>
        <w:gridCol w:w="1483"/>
        <w:gridCol w:w="2491"/>
      </w:tblGrid>
      <w:tr>
        <w:trPr>
          <w:tblHeader/>
        </w:trPr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精确定义</w:t>
            </w:r>
          </w:p>
        </w:tc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观察频率</w:t>
            </w:r>
          </w:p>
        </w:tc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建议试点门槛</w:t>
            </w:r>
          </w:p>
        </w:tc>
      </w:tr>
      <w:tr>
        <w:tc>
          <w:tcPr>
            <w:tcW w:type="dxa" w:w="1699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单件净处理时间</w:t>
            </w:r>
          </w:p>
        </w:tc>
        <w:tc>
          <w:tcPr>
            <w:tcW w:type="dxa" w:w="43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从接收到完成的人工分钟数，含 AI 核查与返工</w:t>
            </w:r>
          </w:p>
        </w:tc>
        <w:tc>
          <w:tcPr>
            <w:tcW w:type="dxa" w:w="148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每周按流程和校区分组</w:t>
            </w:r>
          </w:p>
        </w:tc>
        <w:tc>
          <w:tcPr>
            <w:tcW w:type="dxa" w:w="249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连续 3 周较对照流程下降，且差错不升</w:t>
            </w:r>
          </w:p>
        </w:tc>
      </w:tr>
      <w:tr>
        <w:tc>
          <w:tcPr>
            <w:tcW w:type="dxa" w:w="1699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事实准确率</w:t>
            </w:r>
          </w:p>
        </w:tc>
        <w:tc>
          <w:tcPr>
            <w:tcW w:type="dxa" w:w="43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抽检答复中所有关键事实正确且有有效来源的件数 ÷ 抽检件数</w:t>
            </w:r>
          </w:p>
        </w:tc>
        <w:tc>
          <w:tcPr>
            <w:tcW w:type="dxa" w:w="148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每周随机抽检</w:t>
            </w:r>
          </w:p>
        </w:tc>
        <w:tc>
          <w:tcPr>
            <w:tcW w:type="dxa" w:w="249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收费、资格和升学信息出现严重错误即暂停</w:t>
            </w:r>
          </w:p>
        </w:tc>
      </w:tr>
      <w:tr>
        <w:tc>
          <w:tcPr>
            <w:tcW w:type="dxa" w:w="1699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一次通过率</w:t>
            </w:r>
          </w:p>
        </w:tc>
        <w:tc>
          <w:tcPr>
            <w:tcW w:type="dxa" w:w="43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首次提交后无需补正的材料数 ÷ 已处理材料数</w:t>
            </w:r>
          </w:p>
        </w:tc>
        <w:tc>
          <w:tcPr>
            <w:tcW w:type="dxa" w:w="148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每周</w:t>
            </w:r>
          </w:p>
        </w:tc>
        <w:tc>
          <w:tcPr>
            <w:tcW w:type="dxa" w:w="249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不低于原流程</w:t>
            </w:r>
          </w:p>
        </w:tc>
      </w:tr>
      <w:tr>
        <w:tc>
          <w:tcPr>
            <w:tcW w:type="dxa" w:w="1699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招生有效转化</w:t>
            </w:r>
          </w:p>
        </w:tc>
        <w:tc>
          <w:tcPr>
            <w:tcW w:type="dxa" w:w="43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符合预先定义资格的咨询中，完成下一关键步骤的人数 ÷ 有效咨询数</w:t>
            </w:r>
          </w:p>
        </w:tc>
        <w:tc>
          <w:tcPr>
            <w:tcW w:type="dxa" w:w="148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每周及招生周期末</w:t>
            </w:r>
          </w:p>
        </w:tc>
        <w:tc>
          <w:tcPr>
            <w:tcW w:type="dxa" w:w="249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同渠道、同周对照；不能只看消息量</w:t>
            </w:r>
          </w:p>
        </w:tc>
      </w:tr>
      <w:tr>
        <w:tc>
          <w:tcPr>
            <w:tcW w:type="dxa" w:w="1699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教学质量</w:t>
            </w:r>
          </w:p>
        </w:tc>
        <w:tc>
          <w:tcPr>
            <w:tcW w:type="dxa" w:w="43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同学段、同课程的作业质量与学习结果</w:t>
            </w:r>
          </w:p>
        </w:tc>
        <w:tc>
          <w:tcPr>
            <w:tcW w:type="dxa" w:w="148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按教学周期</w:t>
            </w:r>
          </w:p>
        </w:tc>
        <w:tc>
          <w:tcPr>
            <w:tcW w:type="dxa" w:w="249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不低于对照班级或历史基线</w:t>
            </w:r>
          </w:p>
        </w:tc>
      </w:tr>
      <w:tr>
        <w:tc>
          <w:tcPr>
            <w:tcW w:type="dxa" w:w="1699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实际编制变化</w:t>
            </w:r>
          </w:p>
        </w:tc>
        <w:tc>
          <w:tcPr>
            <w:tcW w:type="dxa" w:w="43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正式岗位数、转岗人数和实际离岗人数分别统计</w:t>
            </w:r>
          </w:p>
        </w:tc>
        <w:tc>
          <w:tcPr>
            <w:tcW w:type="dxa" w:w="148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每月</w:t>
            </w:r>
          </w:p>
        </w:tc>
        <w:tc>
          <w:tcPr>
            <w:tcW w:type="dxa" w:w="249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不得超过已核准的岗位上限</w:t>
            </w:r>
          </w:p>
        </w:tc>
      </w:tr>
    </w:tbl>
    <w:p>
      <w:pPr>
        <w:spacing w:after="40"/>
      </w:pPr>
    </w:p>
    <w:p>
      <w:r>
        <w:t>表中的门槛为建议决策规则，并非已测得的集团目标。样本量、季节性与对照组可比性由试点负责人在第 15 天评估；若 90 天不足以覆盖完整招生或教学周期，相关指标保持观察，不以短期波动决定编制。</w:t>
      </w:r>
    </w:p>
    <w:p>
      <w:pPr>
        <w:pStyle w:val="Heading1"/>
      </w:pPr>
      <w:r>
        <w:t>十一 人员调整的顺序与责任</w:t>
      </w:r>
    </w:p>
    <w:p>
      <w:r>
        <w:t>第一步暂停拟减少岗位的新增招聘，利用离职后空缺、流程合并与自然流失观察服务是否受影响。第二步安排可匹配的转岗和培训，例如把重复录入岗位转向家校服务或企业合作。第三步在业务底线和试点结果稳定后，才对确需减少的岗位制定逐人方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3"/>
        <w:gridCol w:w="1944"/>
        <w:gridCol w:w="2218"/>
        <w:gridCol w:w="2549"/>
      </w:tblGrid>
      <w:tr>
        <w:trPr>
          <w:tblHeader/>
        </w:trPr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决策项</w:t>
            </w:r>
          </w:p>
        </w:tc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提出人</w:t>
            </w:r>
          </w:p>
        </w:tc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复核人</w:t>
            </w:r>
          </w:p>
        </w:tc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批准人</w:t>
            </w:r>
          </w:p>
        </w:tc>
      </w:tr>
      <w:tr>
        <w:tc>
          <w:tcPr>
            <w:tcW w:type="dxa" w:w="328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岗位任务与工作量</w:t>
            </w:r>
          </w:p>
        </w:tc>
        <w:tc>
          <w:tcPr>
            <w:tcW w:type="dxa" w:w="194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部门负责人</w:t>
            </w:r>
          </w:p>
        </w:tc>
        <w:tc>
          <w:tcPr>
            <w:tcW w:type="dxa" w:w="221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项目小组、财务</w:t>
            </w:r>
          </w:p>
        </w:tc>
        <w:tc>
          <w:tcPr>
            <w:tcW w:type="dxa" w:w="2549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业务分管负责人</w:t>
            </w:r>
          </w:p>
        </w:tc>
      </w:tr>
      <w:tr>
        <w:tc>
          <w:tcPr>
            <w:tcW w:type="dxa" w:w="328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教师及考评服务底线</w:t>
            </w:r>
          </w:p>
        </w:tc>
        <w:tc>
          <w:tcPr>
            <w:tcW w:type="dxa" w:w="194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校长或考评负责人</w:t>
            </w:r>
          </w:p>
        </w:tc>
        <w:tc>
          <w:tcPr>
            <w:tcW w:type="dxa" w:w="221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教务、合规</w:t>
            </w:r>
          </w:p>
        </w:tc>
        <w:tc>
          <w:tcPr>
            <w:tcW w:type="dxa" w:w="2549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对应办学主体负责人</w:t>
            </w:r>
          </w:p>
        </w:tc>
      </w:tr>
      <w:tr>
        <w:tc>
          <w:tcPr>
            <w:tcW w:type="dxa" w:w="328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可调整岗位上限</w:t>
            </w:r>
          </w:p>
        </w:tc>
        <w:tc>
          <w:tcPr>
            <w:tcW w:type="dxa" w:w="194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人事负责人</w:t>
            </w:r>
          </w:p>
        </w:tc>
        <w:tc>
          <w:tcPr>
            <w:tcW w:type="dxa" w:w="221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财务、业务、法务</w:t>
            </w:r>
          </w:p>
        </w:tc>
        <w:tc>
          <w:tcPr>
            <w:tcW w:type="dxa" w:w="2549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集团负责人</w:t>
            </w:r>
          </w:p>
        </w:tc>
      </w:tr>
      <w:tr>
        <w:tc>
          <w:tcPr>
            <w:tcW w:type="dxa" w:w="328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个人转岗与合同变化</w:t>
            </w:r>
          </w:p>
        </w:tc>
        <w:tc>
          <w:tcPr>
            <w:tcW w:type="dxa" w:w="194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人事负责人</w:t>
            </w:r>
          </w:p>
        </w:tc>
        <w:tc>
          <w:tcPr>
            <w:tcW w:type="dxa" w:w="221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法务、直属主管</w:t>
            </w:r>
          </w:p>
        </w:tc>
        <w:tc>
          <w:tcPr>
            <w:tcW w:type="dxa" w:w="2549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法定用人主体</w:t>
            </w:r>
          </w:p>
        </w:tc>
      </w:tr>
      <w:tr>
        <w:tc>
          <w:tcPr>
            <w:tcW w:type="dxa" w:w="328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供应商与数据处理</w:t>
            </w:r>
          </w:p>
        </w:tc>
        <w:tc>
          <w:tcPr>
            <w:tcW w:type="dxa" w:w="194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信息技术负责人</w:t>
            </w:r>
          </w:p>
        </w:tc>
        <w:tc>
          <w:tcPr>
            <w:tcW w:type="dxa" w:w="221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法务、数据负责人</w:t>
            </w:r>
          </w:p>
        </w:tc>
        <w:tc>
          <w:tcPr>
            <w:tcW w:type="dxa" w:w="2549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集团负责人</w:t>
            </w:r>
          </w:p>
        </w:tc>
      </w:tr>
    </w:tbl>
    <w:p>
      <w:pPr>
        <w:spacing w:after="40"/>
      </w:pPr>
    </w:p>
    <w:p>
      <w:r>
        <w:t>《劳动合同法》对合同变更、解除、经济补偿和经济性裁员设有不同条件与程序。是否适用以及人数门槛，应由集团人事与法务按具体用人主体、实际事实和现行法律判断。民办学校教师的资质与专任教师配备要求也需要逐校核查。</w:t>
      </w:r>
    </w:p>
    <w:p>
      <w:pPr>
        <w:pStyle w:val="Heading1"/>
      </w:pPr>
      <w:r>
        <w:t>十二 采购评估与预算填报</w:t>
      </w:r>
    </w:p>
    <w:p>
      <w:r>
        <w:t>供应商先通过必要条件，再评分。必要条件包括：明确的数据处理协议、学校资料隔离、可关闭训练使用、可导出与删除、角色权限、操作日志、答复引用来源，以及对中国境内服务与跨境处理的说明。任何必要条件不满足，先不接入真实学生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3"/>
        <w:gridCol w:w="1368"/>
        <w:gridCol w:w="6062"/>
      </w:tblGrid>
      <w:tr>
        <w:trPr>
          <w:tblHeader/>
        </w:trPr>
        <w:tc>
          <w:tcPr>
            <w:tcW w:type="dxa" w:w="333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评估维度</w:t>
            </w:r>
          </w:p>
        </w:tc>
        <w:tc>
          <w:tcPr>
            <w:tcW w:type="dxa" w:w="333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建议权重</w:t>
            </w:r>
          </w:p>
        </w:tc>
        <w:tc>
          <w:tcPr>
            <w:tcW w:type="dxa" w:w="333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核查材料</w:t>
            </w:r>
          </w:p>
        </w:tc>
      </w:tr>
      <w:tr>
        <w:tc>
          <w:tcPr>
            <w:tcW w:type="dxa" w:w="256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数据与合规</w:t>
            </w:r>
          </w:p>
        </w:tc>
        <w:tc>
          <w:tcPr>
            <w:tcW w:type="dxa" w:w="136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30%</w:t>
            </w:r>
          </w:p>
        </w:tc>
        <w:tc>
          <w:tcPr>
            <w:tcW w:type="dxa" w:w="606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处理协议、数据流向、存储与删除机制</w:t>
            </w:r>
          </w:p>
        </w:tc>
      </w:tr>
      <w:tr>
        <w:tc>
          <w:tcPr>
            <w:tcW w:type="dxa" w:w="256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答案质量与可追溯</w:t>
            </w:r>
          </w:p>
        </w:tc>
        <w:tc>
          <w:tcPr>
            <w:tcW w:type="dxa" w:w="136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25%</w:t>
            </w:r>
          </w:p>
        </w:tc>
        <w:tc>
          <w:tcPr>
            <w:tcW w:type="dxa" w:w="606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集团历史题集测试、来源引用、错误回收</w:t>
            </w:r>
          </w:p>
        </w:tc>
      </w:tr>
      <w:tr>
        <w:tc>
          <w:tcPr>
            <w:tcW w:type="dxa" w:w="256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系统集成</w:t>
            </w:r>
          </w:p>
        </w:tc>
        <w:tc>
          <w:tcPr>
            <w:tcW w:type="dxa" w:w="136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20%</w:t>
            </w:r>
          </w:p>
        </w:tc>
        <w:tc>
          <w:tcPr>
            <w:tcW w:type="dxa" w:w="606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招生与教务系统接口、权限、日志</w:t>
            </w:r>
          </w:p>
        </w:tc>
      </w:tr>
      <w:tr>
        <w:tc>
          <w:tcPr>
            <w:tcW w:type="dxa" w:w="256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费用与退出</w:t>
            </w:r>
          </w:p>
        </w:tc>
        <w:tc>
          <w:tcPr>
            <w:tcW w:type="dxa" w:w="136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15%</w:t>
            </w:r>
          </w:p>
        </w:tc>
        <w:tc>
          <w:tcPr>
            <w:tcW w:type="dxa" w:w="606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三年总拥有成本、用量上限、数据迁出</w:t>
            </w:r>
          </w:p>
        </w:tc>
      </w:tr>
      <w:tr>
        <w:tc>
          <w:tcPr>
            <w:tcW w:type="dxa" w:w="256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培训与支持</w:t>
            </w:r>
          </w:p>
        </w:tc>
        <w:tc>
          <w:tcPr>
            <w:tcW w:type="dxa" w:w="136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10%</w:t>
            </w:r>
          </w:p>
        </w:tc>
        <w:tc>
          <w:tcPr>
            <w:tcW w:type="dxa" w:w="606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实施人员、故障响应和教师培训</w:t>
            </w:r>
          </w:p>
        </w:tc>
      </w:tr>
    </w:tbl>
    <w:p>
      <w:pPr>
        <w:spacing w:after="40"/>
      </w:pPr>
    </w:p>
    <w:p>
      <w:r>
        <w:t>预算模板分一次性与持续性两部分。一次性包括知识整理、系统接入、培训、安全审查；持续性包括账号与模型调用、存储、维护、人工复核。至少取得三家可比报价，并在第 30 天、第 60 天和第 90 天分阶段释放预算。</w:t>
      </w:r>
    </w:p>
    <w:p>
      <w:pPr>
        <w:pStyle w:val="Heading1"/>
      </w:pPr>
      <w:r>
        <w:t>十三 12 个月扩展安排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563"/>
        <w:gridCol w:w="3528"/>
        <w:gridCol w:w="2390"/>
      </w:tblGrid>
      <w:tr>
        <w:trPr>
          <w:tblHeader/>
        </w:trPr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覆盖范围</w:t>
            </w:r>
          </w:p>
        </w:tc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编制动作</w:t>
            </w:r>
          </w:p>
        </w:tc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继续条件</w:t>
            </w:r>
          </w:p>
        </w:tc>
      </w:tr>
      <w:tr>
        <w:tc>
          <w:tcPr>
            <w:tcW w:type="dxa" w:w="151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第 1 至 3 月</w:t>
            </w:r>
          </w:p>
        </w:tc>
        <w:tc>
          <w:tcPr>
            <w:tcW w:type="dxa" w:w="256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三个受控流程，约 60 人</w:t>
            </w:r>
          </w:p>
        </w:tc>
        <w:tc>
          <w:tcPr>
            <w:tcW w:type="dxa" w:w="352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建立岗位台账，暂不依据估计值减编</w:t>
            </w:r>
          </w:p>
        </w:tc>
        <w:tc>
          <w:tcPr>
            <w:tcW w:type="dxa" w:w="239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质量与数据处理合格</w:t>
            </w:r>
          </w:p>
        </w:tc>
      </w:tr>
      <w:tr>
        <w:tc>
          <w:tcPr>
            <w:tcW w:type="dxa" w:w="151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第 4 至 6 月</w:t>
            </w:r>
          </w:p>
        </w:tc>
        <w:tc>
          <w:tcPr>
            <w:tcW w:type="dxa" w:w="256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将验证有效的流程扩到更多校区和部门</w:t>
            </w:r>
          </w:p>
        </w:tc>
        <w:tc>
          <w:tcPr>
            <w:tcW w:type="dxa" w:w="352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优先用招聘控制、自然流失和转岗消化重复岗位</w:t>
            </w:r>
          </w:p>
        </w:tc>
        <w:tc>
          <w:tcPr>
            <w:tcW w:type="dxa" w:w="239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释放产能可在排班中兑现</w:t>
            </w:r>
          </w:p>
        </w:tc>
      </w:tr>
      <w:tr>
        <w:tc>
          <w:tcPr>
            <w:tcW w:type="dxa" w:w="151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第 7 至 9 月</w:t>
            </w:r>
          </w:p>
        </w:tc>
        <w:tc>
          <w:tcPr>
            <w:tcW w:type="dxa" w:w="256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覆盖集团大部分可适用的行政流程</w:t>
            </w:r>
          </w:p>
        </w:tc>
        <w:tc>
          <w:tcPr>
            <w:tcW w:type="dxa" w:w="352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按法人和岗位制定正式编制方案</w:t>
            </w:r>
          </w:p>
        </w:tc>
        <w:tc>
          <w:tcPr>
            <w:tcW w:type="dxa" w:w="239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财务确认净现金节约</w:t>
            </w:r>
          </w:p>
        </w:tc>
      </w:tr>
      <w:tr>
        <w:tc>
          <w:tcPr>
            <w:tcW w:type="dxa" w:w="151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第 10 至 12 月</w:t>
            </w:r>
          </w:p>
        </w:tc>
        <w:tc>
          <w:tcPr>
            <w:tcW w:type="dxa" w:w="256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谨慎扩展到更复杂的教学和认定辅助</w:t>
            </w:r>
          </w:p>
        </w:tc>
        <w:tc>
          <w:tcPr>
            <w:tcW w:type="dxa" w:w="352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复核教师、考评和学生服务底线</w:t>
            </w:r>
          </w:p>
        </w:tc>
        <w:tc>
          <w:tcPr>
            <w:tcW w:type="dxa" w:w="239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学习结果、合规和服务质量持续稳定</w:t>
            </w:r>
          </w:p>
        </w:tc>
      </w:tr>
    </w:tbl>
    <w:p>
      <w:pPr>
        <w:spacing w:after="40"/>
      </w:pPr>
    </w:p>
    <w:p>
      <w:pPr>
        <w:pStyle w:val="Heading1"/>
      </w:pPr>
      <w:r>
        <w:t>十四 两周内必须拿到的材料</w:t>
      </w:r>
    </w:p>
    <w:p>
      <w:r>
        <w:t>人事提供：各法定用人主体的岗位人数、劳动合同类型、年全成本、近 12 个月离职与招聘、岗位职责。财务提供：各业务线收入、毛利、学费及运营费用口径。业务负责人提供：月任务量、服务时段、最低配置、招生季波动和异常案例。信息技术提供：招生、教务、课程与考务系统清单及可导出字段。法务提供：办学主体、资质、数据处理与劳动用工约束清单。</w:t>
      </w:r>
    </w:p>
    <w:p>
      <w:r>
        <w:t>若上述材料缺失，交付物保持“待填”状态；不以行业平均值或公开招生计划替代集团真实编制。</w:t>
      </w:r>
    </w:p>
    <w:p>
      <w:pPr>
        <w:pStyle w:val="Heading1"/>
      </w:pPr>
      <w:r>
        <w:t>十五 200 万元目标的现金模型</w:t>
      </w:r>
    </w:p>
    <w:p>
      <w:r>
        <w:t>先固定比较口径：以启动前经财务签字的岗位工资、社保公积金、奖金及已批准招聘和外包预算为基线。集团应报告三项结果：首 12 个月累计人力成本减少、首 12 个月扣除过渡和 AI 成本的净现金节约、岗位生效后的稳定年化工资减少。用户提出的 200 万元以首年累计人力成本减少作为主要目标；首年净现金 200 万元为更严格的挑战目标。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491"/>
        <w:gridCol w:w="2491"/>
        <w:gridCol w:w="2491"/>
      </w:tblGrid>
      <w:tr>
        <w:trPr>
          <w:tblHeader/>
        </w:trPr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每岗位年全成本 假设</w:t>
            </w:r>
          </w:p>
        </w:tc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稳定年化减少 200 万</w:t>
            </w:r>
          </w:p>
        </w:tc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首年人力减少 200 万</w:t>
            </w:r>
          </w:p>
        </w:tc>
        <w:tc>
          <w:tcPr>
            <w:tcW w:type="dxa" w:w="24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首年净现金 200 万</w:t>
            </w:r>
          </w:p>
        </w:tc>
      </w:tr>
      <w:tr>
        <w:tc>
          <w:tcPr>
            <w:tcW w:type="dxa" w:w="25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10 万元</w:t>
            </w:r>
          </w:p>
        </w:tc>
        <w:tc>
          <w:tcPr>
            <w:tcW w:type="dxa" w:w="249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20 岗</w:t>
            </w:r>
          </w:p>
        </w:tc>
        <w:tc>
          <w:tcPr>
            <w:tcW w:type="dxa" w:w="249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27 岗</w:t>
            </w:r>
          </w:p>
        </w:tc>
        <w:tc>
          <w:tcPr>
            <w:tcW w:type="dxa" w:w="249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35 岗</w:t>
            </w:r>
          </w:p>
        </w:tc>
      </w:tr>
      <w:tr>
        <w:tc>
          <w:tcPr>
            <w:tcW w:type="dxa" w:w="25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12 万元</w:t>
            </w:r>
          </w:p>
        </w:tc>
        <w:tc>
          <w:tcPr>
            <w:tcW w:type="dxa" w:w="249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17 岗</w:t>
            </w:r>
          </w:p>
        </w:tc>
        <w:tc>
          <w:tcPr>
            <w:tcW w:type="dxa" w:w="249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23 岗</w:t>
            </w:r>
          </w:p>
        </w:tc>
        <w:tc>
          <w:tcPr>
            <w:tcW w:type="dxa" w:w="249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29 岗</w:t>
            </w:r>
          </w:p>
        </w:tc>
      </w:tr>
      <w:tr>
        <w:tc>
          <w:tcPr>
            <w:tcW w:type="dxa" w:w="252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14 万元</w:t>
            </w:r>
          </w:p>
        </w:tc>
        <w:tc>
          <w:tcPr>
            <w:tcW w:type="dxa" w:w="249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15 岗</w:t>
            </w:r>
          </w:p>
        </w:tc>
        <w:tc>
          <w:tcPr>
            <w:tcW w:type="dxa" w:w="249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20 岗</w:t>
            </w:r>
          </w:p>
        </w:tc>
        <w:tc>
          <w:tcPr>
            <w:tcW w:type="dxa" w:w="249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7"/>
              </w:rPr>
              <w:t>25 岗</w:t>
            </w:r>
          </w:p>
        </w:tc>
      </w:tr>
    </w:tbl>
    <w:p>
      <w:pPr>
        <w:spacing w:after="40"/>
      </w:pPr>
    </w:p>
    <w:p>
      <w:r>
        <w:t>首年两列是一组门槛演算：所有岗位平均可节约 9 个月；一次性过渡成本 35 万元；首年 AI 平台、实施和复核费用 25 万元。按每岗 12 万元，23 岗 × 12 万元 × 9/12 = 207 万元首年人力减少，扣除 60 万元费用后净额 147 万元；如要求首年净额 200 万元，则需 29 岗，净额为 201 万元。若生效较晚、工资较低或成本较高，所需岗位会更多。</w:t>
      </w:r>
    </w:p>
    <w:p>
      <w:r>
        <w:t>29 岗对应每年约 52,200 小时可合并工作量；若平均摊在 300 人和 46 个工作周，约需每人每周释放 3.78 小时。原方案每人每周 1.5 小时的演示只释放 20,700 小时，距离该门槛还差 31,500 小时。工时只是必要的容量检验，真实岗位还取决于相同地点、班次、职责和技能能否合并。</w:t>
      </w:r>
    </w:p>
    <w:p>
      <w:pPr>
        <w:pStyle w:val="Heading1"/>
      </w:pPr>
      <w:r>
        <w:t>十六 五个优先整合的流程包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104"/>
        <w:gridCol w:w="4018"/>
      </w:tblGrid>
      <w:tr>
        <w:trPr>
          <w:tblHeader/>
        </w:trPr>
        <w:tc>
          <w:tcPr>
            <w:tcW w:type="dxa" w:w="333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流程包</w:t>
            </w:r>
          </w:p>
        </w:tc>
        <w:tc>
          <w:tcPr>
            <w:tcW w:type="dxa" w:w="333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AI 与组织重组动作</w:t>
            </w:r>
          </w:p>
        </w:tc>
        <w:tc>
          <w:tcPr>
            <w:tcW w:type="dxa" w:w="333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产生真实节约的条件</w:t>
            </w:r>
          </w:p>
        </w:tc>
      </w:tr>
      <w:tr>
        <w:tc>
          <w:tcPr>
            <w:tcW w:type="dxa" w:w="187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招生咨询与市场</w:t>
            </w:r>
          </w:p>
        </w:tc>
        <w:tc>
          <w:tcPr>
            <w:tcW w:type="dxa" w:w="410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统一知识库、自动摘要、线索分级、跨校区共享排班</w:t>
            </w:r>
          </w:p>
        </w:tc>
        <w:tc>
          <w:tcPr>
            <w:tcW w:type="dxa" w:w="401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咨询转化和投诉不恶化；空缺岗位经验证后不补</w:t>
            </w:r>
          </w:p>
        </w:tc>
      </w:tr>
      <w:tr>
        <w:tc>
          <w:tcPr>
            <w:tcW w:type="dxa" w:w="187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报名与学籍教务</w:t>
            </w:r>
          </w:p>
        </w:tc>
        <w:tc>
          <w:tcPr>
            <w:tcW w:type="dxa" w:w="410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材料识别、缺项提示、自动工单、集中复核</w:t>
            </w:r>
          </w:p>
        </w:tc>
        <w:tc>
          <w:tcPr>
            <w:tcW w:type="dxa" w:w="401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高峰期与日常排班均覆盖；人工复核计入耗时</w:t>
            </w:r>
          </w:p>
        </w:tc>
      </w:tr>
      <w:tr>
        <w:tc>
          <w:tcPr>
            <w:tcW w:type="dxa" w:w="187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财务与人事行政</w:t>
            </w:r>
          </w:p>
        </w:tc>
        <w:tc>
          <w:tcPr>
            <w:tcW w:type="dxa" w:w="410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票据预分类、对账草稿、制度问答、报表生成</w:t>
            </w:r>
          </w:p>
        </w:tc>
        <w:tc>
          <w:tcPr>
            <w:tcW w:type="dxa" w:w="401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财务审批与人事决定保留人工；跨主体共享需核权限</w:t>
            </w:r>
          </w:p>
        </w:tc>
      </w:tr>
      <w:tr>
        <w:tc>
          <w:tcPr>
            <w:tcW w:type="dxa" w:w="187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技能认定与国际材料</w:t>
            </w:r>
          </w:p>
        </w:tc>
        <w:tc>
          <w:tcPr>
            <w:tcW w:type="dxa" w:w="410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文件核验、翻译草稿、排程与异常分流</w:t>
            </w:r>
          </w:p>
        </w:tc>
        <w:tc>
          <w:tcPr>
            <w:tcW w:type="dxa" w:w="401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考评授权和最终决定不自动化；差错率不升</w:t>
            </w:r>
          </w:p>
        </w:tc>
      </w:tr>
      <w:tr>
        <w:tc>
          <w:tcPr>
            <w:tcW w:type="dxa" w:w="1872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外包与临时用工</w:t>
            </w:r>
          </w:p>
        </w:tc>
        <w:tc>
          <w:tcPr>
            <w:tcW w:type="dxa" w:w="4104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梳理已批准采购、季节性用工和续约清单</w:t>
            </w:r>
          </w:p>
        </w:tc>
        <w:tc>
          <w:tcPr>
            <w:tcW w:type="dxa" w:w="401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只计实际取消或减少的已承诺支出，不与员工岗位重复</w:t>
            </w:r>
          </w:p>
        </w:tc>
      </w:tr>
    </w:tbl>
    <w:p>
      <w:pPr>
        <w:spacing w:after="40"/>
      </w:pPr>
    </w:p>
    <w:p>
      <w:r>
        <w:t>综合高中与职业教育教师的 AI 备课先作为教学质量试点。OECD TALIS 2024 表明教师工作中行政任务只占一部分；世界银行 2026 年秘鲁随机试验发现，培训与工具提高了教师使用 AI 的能力，但未节省核心教学任务时间。因此，不把教师整体编制作为 200 万元测算的默认来源。</w:t>
      </w:r>
    </w:p>
    <w:p>
      <w:pPr>
        <w:pStyle w:val="Heading1"/>
      </w:pPr>
      <w:r>
        <w:t>十七 15 天可行性闸门与 12 个月兑现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5256"/>
        <w:gridCol w:w="3298"/>
      </w:tblGrid>
      <w:tr>
        <w:trPr>
          <w:tblHeader/>
        </w:trPr>
        <w:tc>
          <w:tcPr>
            <w:tcW w:type="dxa" w:w="333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时点</w:t>
            </w:r>
          </w:p>
        </w:tc>
        <w:tc>
          <w:tcPr>
            <w:tcW w:type="dxa" w:w="333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必须交付</w:t>
            </w:r>
          </w:p>
        </w:tc>
        <w:tc>
          <w:tcPr>
            <w:tcW w:type="dxa" w:w="3331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02232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董事长判定</w:t>
            </w:r>
          </w:p>
        </w:tc>
      </w:tr>
      <w:tr>
        <w:tc>
          <w:tcPr>
            <w:tcW w:type="dxa" w:w="144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第 15 天</w:t>
            </w:r>
          </w:p>
        </w:tc>
        <w:tc>
          <w:tcPr>
            <w:tcW w:type="dxa" w:w="5256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300 人按法人、校区、岗位、全成本填满；近 12 月离职、招聘、外包与业务量核对</w:t>
            </w:r>
          </w:p>
        </w:tc>
        <w:tc>
          <w:tcPr>
            <w:tcW w:type="dxa" w:w="32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若可评估岗位池不足，直接判定首年 200 万净目标不可承诺</w:t>
            </w:r>
          </w:p>
        </w:tc>
      </w:tr>
      <w:tr>
        <w:tc>
          <w:tcPr>
            <w:tcW w:type="dxa" w:w="144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第 90 天</w:t>
            </w:r>
          </w:p>
        </w:tc>
        <w:tc>
          <w:tcPr>
            <w:tcW w:type="dxa" w:w="5256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对照试点给出净节时、错误率、招生结果、服务底线和岗位上限</w:t>
            </w:r>
          </w:p>
        </w:tc>
        <w:tc>
          <w:tcPr>
            <w:tcW w:type="dxa" w:w="32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未证明岗位可合并，停止相关减编测算</w:t>
            </w:r>
          </w:p>
        </w:tc>
      </w:tr>
      <w:tr>
        <w:tc>
          <w:tcPr>
            <w:tcW w:type="dxa" w:w="144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第 4—6 月</w:t>
            </w:r>
          </w:p>
        </w:tc>
        <w:tc>
          <w:tcPr>
            <w:tcW w:type="dxa" w:w="5256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共享排班和岗位重组；优先自然流失、招聘冻结、外包续约调整</w:t>
            </w:r>
          </w:p>
        </w:tc>
        <w:tc>
          <w:tcPr>
            <w:tcW w:type="dxa" w:w="32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财务只认实际未补空缺或已减少支出</w:t>
            </w:r>
          </w:p>
        </w:tc>
      </w:tr>
      <w:tr>
        <w:tc>
          <w:tcPr>
            <w:tcW w:type="dxa" w:w="1440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第 7—12 月</w:t>
            </w:r>
          </w:p>
        </w:tc>
        <w:tc>
          <w:tcPr>
            <w:tcW w:type="dxa" w:w="5256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按法定用人主体执行经批准的人事方案，逐月更新现金桥</w:t>
            </w:r>
          </w:p>
        </w:tc>
        <w:tc>
          <w:tcPr>
            <w:tcW w:type="dxa" w:w="3298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8"/>
          </w:tcPr>
          <w:p>
            <w:pPr>
              <w:spacing w:after="0" w:line="269" w:lineRule="auto"/>
            </w:pPr>
            <w:r>
              <w:rPr>
                <w:rFonts w:ascii="Microsoft YaHei" w:hAnsi="Microsoft YaHei"/>
                <w:b w:val="0"/>
                <w:color w:val="14212B"/>
                <w:sz w:val="18"/>
              </w:rPr>
              <w:t>核验首年累计人力减少是否达 200 万，净额与年化另列</w:t>
            </w:r>
          </w:p>
        </w:tc>
      </w:tr>
    </w:tbl>
    <w:p>
      <w:pPr>
        <w:spacing w:after="40"/>
      </w:pPr>
    </w:p>
    <w:p>
      <w:r>
        <w:t>集团 300 人不等于单个雇主的 300 人。《劳动合同法》对变更、解除、经济补偿及经济性裁员有不同条件与程序。集团人事和法务应逐主体审查，不能由本模型自动决定解除。技工学校的办学标准、专任教师和学生安全覆盖也必须逐校核对。</w:t>
      </w:r>
    </w:p>
    <w:p>
      <w:pPr>
        <w:pStyle w:val="Heading1"/>
      </w:pPr>
      <w:r>
        <w:t>附 研究与政策来源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pPr>
              <w:pStyle w:val="SmallText"/>
              <w:spacing w:after="40"/>
            </w:pPr>
            <w:hyperlink r:id="rId11">
              <w:r>
                <w:rPr>
                  <w:color w:val="5C6870"/>
                </w:rPr>
                <w:t>NBER 生成式 AI 在客服岗位的研究</w:t>
              </w:r>
            </w:hyperlink>
          </w:p>
        </w:tc>
        <w:tc>
          <w:tcPr>
            <w:tcW w:type="dxa" w:w="4997"/>
          </w:tcPr>
          <w:p>
            <w:pPr>
              <w:pStyle w:val="SmallText"/>
              <w:spacing w:after="40"/>
            </w:pPr>
            <w:hyperlink r:id="rId12">
              <w:r>
                <w:rPr>
                  <w:color w:val="5C6870"/>
                </w:rPr>
                <w:t>世界银行 尼日利亚高中 AI 辅导随机试验</w:t>
              </w:r>
            </w:hyperlink>
          </w:p>
        </w:tc>
      </w:tr>
      <w:tr>
        <w:tc>
          <w:tcPr>
            <w:tcW w:type="dxa" w:w="4997"/>
          </w:tcPr>
          <w:p>
            <w:pPr>
              <w:pStyle w:val="SmallText"/>
              <w:spacing w:after="40"/>
            </w:pPr>
            <w:hyperlink r:id="rId13">
              <w:r>
                <w:rPr>
                  <w:color w:val="5C6870"/>
                </w:rPr>
                <w:t>UNESCO 生成式 AI 教育与研究指南</w:t>
              </w:r>
            </w:hyperlink>
          </w:p>
        </w:tc>
        <w:tc>
          <w:tcPr>
            <w:tcW w:type="dxa" w:w="4997"/>
          </w:tcPr>
          <w:p>
            <w:pPr>
              <w:pStyle w:val="SmallText"/>
              <w:spacing w:after="40"/>
            </w:pPr>
            <w:hyperlink r:id="rId14">
              <w:r>
                <w:rPr>
                  <w:color w:val="5C6870"/>
                </w:rPr>
                <w:t>OECD TALIS 2024 教师调查</w:t>
              </w:r>
            </w:hyperlink>
          </w:p>
        </w:tc>
      </w:tr>
      <w:tr>
        <w:tc>
          <w:tcPr>
            <w:tcW w:type="dxa" w:w="4997"/>
          </w:tcPr>
          <w:p>
            <w:pPr>
              <w:pStyle w:val="SmallText"/>
              <w:spacing w:after="40"/>
            </w:pPr>
            <w:hyperlink r:id="rId15">
              <w:r>
                <w:rPr>
                  <w:color w:val="5C6870"/>
                </w:rPr>
                <w:t>中华人民共和国个人信息保护法</w:t>
              </w:r>
            </w:hyperlink>
          </w:p>
        </w:tc>
        <w:tc>
          <w:tcPr>
            <w:tcW w:type="dxa" w:w="4997"/>
          </w:tcPr>
          <w:p>
            <w:pPr>
              <w:pStyle w:val="SmallText"/>
              <w:spacing w:after="40"/>
            </w:pPr>
            <w:hyperlink r:id="rId16">
              <w:r>
                <w:rPr>
                  <w:color w:val="5C6870"/>
                </w:rPr>
                <w:t>教育部智慧教育平台个人信息保护标准通知</w:t>
              </w:r>
            </w:hyperlink>
          </w:p>
        </w:tc>
      </w:tr>
      <w:tr>
        <w:tc>
          <w:tcPr>
            <w:tcW w:type="dxa" w:w="4997"/>
          </w:tcPr>
          <w:p>
            <w:pPr>
              <w:pStyle w:val="SmallText"/>
              <w:spacing w:after="40"/>
            </w:pPr>
            <w:hyperlink r:id="rId17">
              <w:r>
                <w:rPr>
                  <w:color w:val="5C6870"/>
                </w:rPr>
                <w:t>中华人民共和国劳动合同法</w:t>
              </w:r>
            </w:hyperlink>
          </w:p>
        </w:tc>
        <w:tc>
          <w:tcPr>
            <w:tcW w:type="dxa" w:w="4997"/>
          </w:tcPr>
          <w:p>
            <w:pPr>
              <w:pStyle w:val="SmallText"/>
              <w:spacing w:after="40"/>
            </w:pPr>
            <w:hyperlink r:id="rId18">
              <w:r>
                <w:rPr>
                  <w:color w:val="5C6870"/>
                </w:rPr>
                <w:t>中华人民共和国民办教育促进法实施条例</w:t>
              </w:r>
            </w:hyperlink>
          </w:p>
        </w:tc>
      </w:tr>
      <w:tr>
        <w:tc>
          <w:tcPr>
            <w:tcW w:type="dxa" w:w="4997"/>
          </w:tcPr>
          <w:p>
            <w:pPr>
              <w:pStyle w:val="SmallText"/>
              <w:spacing w:after="40"/>
            </w:pPr>
            <w:hyperlink r:id="rId19">
              <w:r>
                <w:rPr>
                  <w:color w:val="5C6870"/>
                </w:rPr>
                <w:t>NBER 跨企业 AI 工作模式随机试验</w:t>
              </w:r>
            </w:hyperlink>
          </w:p>
        </w:tc>
        <w:tc>
          <w:tcPr>
            <w:tcW w:type="dxa" w:w="4997"/>
          </w:tcPr>
          <w:p>
            <w:pPr>
              <w:pStyle w:val="SmallText"/>
              <w:spacing w:after="40"/>
            </w:pPr>
            <w:hyperlink r:id="rId20">
              <w:r>
                <w:rPr>
                  <w:color w:val="5C6870"/>
                </w:rPr>
                <w:t>世界银行 秘鲁教师 AI 随机试验</w:t>
              </w:r>
            </w:hyperlink>
          </w:p>
        </w:tc>
      </w:tr>
      <w:tr>
        <w:tc>
          <w:tcPr>
            <w:tcW w:type="dxa" w:w="4997"/>
          </w:tcPr>
          <w:p>
            <w:pPr>
              <w:pStyle w:val="SmallText"/>
              <w:spacing w:after="40"/>
            </w:pPr>
            <w:hyperlink r:id="rId21">
              <w:r>
                <w:rPr>
                  <w:color w:val="5C6870"/>
                </w:rPr>
                <w:t>人社部 技工院校设置标准</w:t>
              </w:r>
            </w:hyperlink>
          </w:p>
        </w:tc>
        <w:tc>
          <w:tcPr>
            <w:tcW w:type="dxa" w:w="4997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66" w:right="1123" w:bottom="1008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525E69"/>
        <w:sz w:val="16"/>
      </w:rPr>
      <w:t>内部讨论稿    2026 年 9 月    集团业务与人员明细待核实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525E69"/>
        <w:sz w:val="16"/>
      </w:rPr>
      <w:t>广东江南理工教育集团    AI 人力降本 200 万目标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 Text"/>
    <w:rPr>
      <w:rFonts w:ascii="Microsoft YaHei" w:hAnsi="Microsoft YaHei" w:eastAsia="Microsoft YaHei"/>
      <w:b w:val="0"/>
      <w:color w:val="525E6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ber.org/system/files/working_papers/w31161/revisions/w31161.rev0.pdf" TargetMode="External"/><Relationship Id="rId12" Type="http://schemas.openxmlformats.org/officeDocument/2006/relationships/hyperlink" Target="https://documents1.worldbank.org/curated/en/099548105192529324/pdf/IDU-c09f40d8-9ff8-42dc-b315-591157499be7.pdf" TargetMode="External"/><Relationship Id="rId13" Type="http://schemas.openxmlformats.org/officeDocument/2006/relationships/hyperlink" Target="https://www.unesco.org/en/articles/guidance-generative-ai-education-and-research" TargetMode="External"/><Relationship Id="rId14" Type="http://schemas.openxmlformats.org/officeDocument/2006/relationships/hyperlink" Target="https://www.oecd.org/en/publications/results-from-talis-2024_90df6235-en.html" TargetMode="External"/><Relationship Id="rId15" Type="http://schemas.openxmlformats.org/officeDocument/2006/relationships/hyperlink" Target="https://www.cac.gov.cn/2021-08/20/c_1631050028355286.htm" TargetMode="External"/><Relationship Id="rId16" Type="http://schemas.openxmlformats.org/officeDocument/2006/relationships/hyperlink" Target="https://www.moe.gov.cn/srcsite/A16/s3342/202507/t20250731_1200912.html" TargetMode="External"/><Relationship Id="rId17" Type="http://schemas.openxmlformats.org/officeDocument/2006/relationships/hyperlink" Target="https://www.mohrss.gov.cn/xxgk2020/fdzdgknr/zcfg/fl/202011/t20201102_394622_wap.html" TargetMode="External"/><Relationship Id="rId18" Type="http://schemas.openxmlformats.org/officeDocument/2006/relationships/hyperlink" Target="https://www.moe.gov.cn/jyb_sjzl/sjzl_zcfg/zcfg_jyxzfg/202110/t20211029_575965.html" TargetMode="External"/><Relationship Id="rId19" Type="http://schemas.openxmlformats.org/officeDocument/2006/relationships/hyperlink" Target="https://www.nber.org/papers/w33795" TargetMode="External"/><Relationship Id="rId20" Type="http://schemas.openxmlformats.org/officeDocument/2006/relationships/hyperlink" Target="https://reproducibility.worldbank.org/catalog/608" TargetMode="External"/><Relationship Id="rId21" Type="http://schemas.openxmlformats.org/officeDocument/2006/relationships/hyperlink" Target="https://www.mohrss.gov.cn/xxgk2020/fdzdgknr/zcfg/gfxwj/rcrs/202312/t20231207_51018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