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96"/>
        <w:pBdr/>
        <w:spacing/>
        <w:ind/>
        <w:rPr>
          <w:highlight w:val="none"/>
        </w:rPr>
      </w:pPr>
      <w:r>
        <w:rPr>
          <w:highlight w:val="none"/>
        </w:rPr>
        <w:t xml:space="preserve">2.A.- Estructura del lenguaje JavaScript.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t xml:space="preserve">1.- Fundamentos de JavaScript</w:t>
      </w:r>
      <w:r/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El lenguaje de programaci</w:t>
      </w:r>
      <w:r>
        <w:rPr>
          <w:highlight w:val="none"/>
        </w:rPr>
        <w:t xml:space="preserve">ón objeto de este m</w:t>
      </w:r>
      <w:r>
        <w:rPr>
          <w:highlight w:val="none"/>
        </w:rPr>
        <w:t xml:space="preserve">ódulo es JavaScript.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JScript es la implementaci</w:t>
      </w:r>
      <w:r>
        <w:rPr>
          <w:highlight w:val="none"/>
        </w:rPr>
        <w:t xml:space="preserve">ón particular de Microsoft, problemas de incompatibilidades con m</w:t>
      </w:r>
      <w:r>
        <w:rPr>
          <w:highlight w:val="none"/>
        </w:rPr>
        <w:t xml:space="preserve">últiples navegadores. W3C dise</w:t>
      </w:r>
      <w:r>
        <w:rPr>
          <w:highlight w:val="none"/>
        </w:rPr>
        <w:t xml:space="preserve">ño el DOM para evitar esto. JScript se ha integrado en la plataforma de desarrollo .NET de Microsoft.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partir de 1997 se rigen por un es</w:t>
      </w:r>
      <w:r>
        <w:rPr>
          <w:highlight w:val="none"/>
        </w:rPr>
        <w:t xml:space="preserve">t</w:t>
      </w:r>
      <w:r>
        <w:rPr>
          <w:highlight w:val="none"/>
        </w:rPr>
        <w:t xml:space="preserve">ándar ECMA. En el documento </w:t>
      </w:r>
      <w:r>
        <w:rPr>
          <w:b/>
          <w:bCs/>
          <w:highlight w:val="none"/>
        </w:rPr>
        <w:t xml:space="preserve">ECMA</w:t>
      </w:r>
      <w:r>
        <w:rPr>
          <w:highlight w:val="none"/>
        </w:rPr>
        <w:t xml:space="preserve">-</w:t>
      </w:r>
      <w:r>
        <w:rPr>
          <w:b/>
          <w:bCs/>
          <w:highlight w:val="none"/>
        </w:rPr>
        <w:t xml:space="preserve">262 </w:t>
      </w:r>
      <w:r>
        <w:rPr>
          <w:highlight w:val="none"/>
        </w:rPr>
        <w:t xml:space="preserve">es d</w:t>
      </w:r>
      <w:r>
        <w:rPr>
          <w:highlight w:val="none"/>
        </w:rPr>
        <w:t xml:space="preserve">ónde se detallan dichas especificaciones. JavaScript y JScript son compatibles con el est</w:t>
      </w:r>
      <w:r>
        <w:rPr>
          <w:highlight w:val="none"/>
        </w:rPr>
        <w:t xml:space="preserve">ándar ECMA-262.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sintaxis similar al lenguaje C. No tiene relaci</w:t>
      </w:r>
      <w:r>
        <w:rPr>
          <w:highlight w:val="none"/>
        </w:rPr>
        <w:t xml:space="preserve">ón con Java ya que tienen sem</w:t>
      </w:r>
      <w:r>
        <w:rPr>
          <w:highlight w:val="none"/>
        </w:rPr>
        <w:t xml:space="preserve">ánticas y prop</w:t>
      </w:r>
      <w:r>
        <w:rPr>
          <w:highlight w:val="none"/>
        </w:rPr>
        <w:t xml:space="preserve">ósitos diferentes.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fue desarrollado por </w:t>
      </w:r>
      <w:r>
        <w:rPr>
          <w:b/>
          <w:bCs/>
          <w:highlight w:val="none"/>
        </w:rPr>
        <w:t xml:space="preserve">Brenda </w:t>
      </w:r>
      <w:r>
        <w:rPr>
          <w:b/>
          <w:bCs/>
          <w:highlight w:val="none"/>
        </w:rPr>
        <w:t xml:space="preserve">Eich</w:t>
      </w:r>
      <w:r>
        <w:rPr>
          <w:highlight w:val="none"/>
        </w:rPr>
        <w:t xml:space="preserve">, lo llamo Mocha &gt;&gt; LiveScript &gt;&gt; JavaScript.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 es uno de los lenguajes m</w:t>
      </w:r>
      <w:r>
        <w:rPr>
          <w:highlight w:val="none"/>
        </w:rPr>
        <w:t xml:space="preserve">ás extendidos y usados en la Web tanto en el desarrollo cliente como servidor que permiten desarrollar aplicaciones altamente acopladas con el cliente lo que quiere a </w:t>
      </w:r>
      <w:r>
        <w:rPr>
          <w:highlight w:val="none"/>
        </w:rPr>
        <w:t xml:space="preserve">éstas un alt</w:t>
      </w:r>
      <w:r>
        <w:rPr>
          <w:highlight w:val="none"/>
        </w:rPr>
        <w:t xml:space="preserve">ísimo grado de interactividad.</w:t>
      </w:r>
      <w:r>
        <w:rPr>
          <w:highlight w:val="none"/>
        </w:rPr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2.- Comentarios en el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la hora de programar en cualquier lenguaje es muy importante incluir comentarios en el c</w:t>
      </w:r>
      <w:r>
        <w:rPr>
          <w:highlight w:val="none"/>
        </w:rPr>
        <w:t xml:space="preserve">ódigo para describir aspectos y facilitar el trabajo.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Los comentarios son sentencias que el int</w:t>
      </w:r>
      <w:r>
        <w:rPr>
          <w:highlight w:val="none"/>
        </w:rPr>
        <w:t xml:space="preserve">érprete de JavaScript ignora. Permite a los desarrolladores dejar notas c</w:t>
      </w:r>
      <w:r>
        <w:rPr>
          <w:highlight w:val="none"/>
        </w:rPr>
        <w:t xml:space="preserve">ómo funcionan las cosas en sus programas.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Muy recomendable el que se documente el c</w:t>
      </w:r>
      <w:r>
        <w:rPr>
          <w:highlight w:val="none"/>
        </w:rPr>
        <w:t xml:space="preserve">ódigo siempre con </w:t>
      </w:r>
      <w:r>
        <w:rPr>
          <w:highlight w:val="none"/>
        </w:rPr>
        <w:t xml:space="preserve">l</w:t>
      </w:r>
      <w:r>
        <w:rPr>
          <w:highlight w:val="none"/>
        </w:rPr>
        <w:t xml:space="preserve">ímites.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permite dos estilos de comentarios.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//</w:t>
      </w:r>
      <w:r>
        <w:rPr>
          <w:highlight w:val="none"/>
        </w:rPr>
        <w:t xml:space="preserve"> este es un comentario de una l</w:t>
      </w:r>
      <w:r>
        <w:rPr>
          <w:highlight w:val="none"/>
        </w:rPr>
        <w:t xml:space="preserve">ínea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Para comentarios m</w:t>
      </w:r>
      <w:r>
        <w:rPr>
          <w:highlight w:val="none"/>
        </w:rPr>
        <w:t xml:space="preserve">ás largos /* */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Funcionalidad que tambi</w:t>
      </w:r>
      <w:r>
        <w:rPr>
          <w:highlight w:val="none"/>
        </w:rPr>
        <w:t xml:space="preserve">én tienen los comentarios:</w:t>
      </w:r>
      <w:r>
        <w:rPr>
          <w:highlight w:val="none"/>
        </w:rPr>
      </w:r>
    </w:p>
    <w:p>
      <w:pPr>
        <w:pStyle w:val="876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Desactivar el c</w:t>
      </w:r>
      <w:r>
        <w:rPr>
          <w:highlight w:val="none"/>
        </w:rPr>
        <w:t xml:space="preserve">ódigo para que deje de ejecutarlo sin tener que borrar nada.</w:t>
      </w:r>
      <w:r>
        <w:rPr>
          <w:highlight w:val="none"/>
        </w:rPr>
      </w:r>
    </w:p>
    <w:p>
      <w:pPr>
        <w:pStyle w:val="876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Dejar informaci</w:t>
      </w:r>
      <w:r>
        <w:rPr>
          <w:highlight w:val="none"/>
        </w:rPr>
        <w:t xml:space="preserve">ón de contacto para que otros programadores contacten contigo.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3.- Constantes y variables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JavaScript a estos s</w:t>
      </w:r>
      <w:r>
        <w:rPr>
          <w:highlight w:val="none"/>
        </w:rPr>
        <w:t xml:space="preserve">ímbolos se les puede asignar un valor una </w:t>
      </w:r>
      <w:r>
        <w:rPr>
          <w:highlight w:val="none"/>
        </w:rPr>
        <w:t xml:space="preserve">única vez (constantes) o m</w:t>
      </w:r>
      <w:r>
        <w:rPr>
          <w:highlight w:val="none"/>
        </w:rPr>
        <w:t xml:space="preserve">ás de una (variables). 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es necesario declarar las variables antes de asignarles un valor.</w:t>
      </w:r>
      <w:r>
        <w:rPr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highlight w:val="none"/>
        </w:rPr>
        <w:t xml:space="preserve">Palabra reservada </w:t>
      </w:r>
      <w:r>
        <w:rPr>
          <w:b/>
          <w:bCs/>
          <w:highlight w:val="none"/>
        </w:rPr>
        <w:t xml:space="preserve">const</w:t>
      </w:r>
      <w:r>
        <w:rPr>
          <w:highlight w:val="none"/>
        </w:rPr>
        <w:t xml:space="preserve">. </w:t>
      </w:r>
      <w:r>
        <w:rPr>
          <w:i/>
          <w:iCs/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" w:hAnsi="Courier" w:eastAsia="Courier" w:cs="Courier"/>
          <w:bCs w:val="0"/>
          <w:i w:val="0"/>
          <w:highlight w:val="none"/>
          <w14:ligatures w14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const cajas = 3;</w:t>
      </w:r>
      <w:r>
        <w:rPr>
          <w:rFonts w:ascii="Courier" w:hAnsi="Courier" w:eastAsia="Courier" w:cs="Courier"/>
          <w:i w:val="0"/>
          <w:iCs w:val="0"/>
          <w:highlight w:val="none"/>
        </w:rPr>
      </w:r>
      <w:r>
        <w:rPr>
          <w:rFonts w:ascii="Courier" w:hAnsi="Courier" w:eastAsia="Courier" w:cs="Courier"/>
          <w:i w:val="0"/>
          <w:iCs w:val="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palabras reservadas para declarar variables </w:t>
      </w:r>
      <w:r>
        <w:rPr>
          <w:b/>
          <w:bCs/>
          <w:highlight w:val="none"/>
        </w:rPr>
        <w:t xml:space="preserve">var </w:t>
      </w:r>
      <w:r>
        <w:rPr>
          <w:highlight w:val="none"/>
        </w:rPr>
        <w:t xml:space="preserve">y </w:t>
      </w:r>
      <w:r>
        <w:rPr>
          <w:b/>
          <w:bCs/>
          <w:highlight w:val="none"/>
        </w:rPr>
        <w:t xml:space="preserve">let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Var</w:t>
      </w:r>
      <w:r>
        <w:rPr>
          <w:highlight w:val="none"/>
        </w:rPr>
        <w:t xml:space="preserve">, permite declarar la variable en su contexto de ejecuci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Let</w:t>
      </w:r>
      <w:r>
        <w:rPr>
          <w:highlight w:val="none"/>
        </w:rPr>
        <w:t xml:space="preserve">, permite declarar la variable limitado a su declaraci</w:t>
      </w:r>
      <w:r>
        <w:rPr>
          <w:highlight w:val="none"/>
        </w:rPr>
        <w:t xml:space="preserve">ón al bloque, declaraci</w:t>
      </w:r>
      <w:r>
        <w:rPr>
          <w:highlight w:val="none"/>
        </w:rPr>
        <w:t xml:space="preserve">ón o expresi</w:t>
      </w:r>
      <w:r>
        <w:rPr>
          <w:highlight w:val="none"/>
        </w:rPr>
        <w:t xml:space="preserve">ón en el se va a utilizar.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variables se pueden declarar y luego asignar o hacer la declaraci</w:t>
      </w:r>
      <w:r>
        <w:rPr>
          <w:highlight w:val="none"/>
        </w:rPr>
        <w:t xml:space="preserve">ón y asignaci</w:t>
      </w:r>
      <w:r>
        <w:rPr>
          <w:highlight w:val="none"/>
        </w:rPr>
        <w:t xml:space="preserve">ón junta.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" w:hAnsi="Courier" w:cs="Courier"/>
          <w:bCs w:val="0"/>
          <w:i w:val="0"/>
          <w:highlight w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Var edad = 38;</w:t>
      </w:r>
      <w:r>
        <w:rPr>
          <w:rFonts w:ascii="Courier" w:hAnsi="Courier" w:eastAsia="Courier" w:cs="Courier"/>
          <w:i w:val="0"/>
          <w:iCs w:val="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puede omitir la palabra </w:t>
      </w:r>
      <w:r>
        <w:rPr>
          <w:b/>
          <w:bCs/>
          <w:highlight w:val="none"/>
        </w:rPr>
        <w:t xml:space="preserve">var </w:t>
      </w:r>
      <w:r>
        <w:rPr>
          <w:highlight w:val="none"/>
        </w:rPr>
        <w:t xml:space="preserve">sin embargo se recomiendo su uso.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" w:hAnsi="Courier" w:eastAsia="Courier" w:cs="Courier"/>
          <w:bCs w:val="0"/>
          <w:i w:val="0"/>
          <w:highlight w:val="none"/>
          <w14:ligatures w14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Var altura, peso, edad;</w:t>
      </w:r>
      <w:r>
        <w:rPr>
          <w:rFonts w:ascii="Courier" w:hAnsi="Courier" w:eastAsia="Courier" w:cs="Courier"/>
          <w:i w:val="0"/>
          <w:iCs w:val="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variable de JavaScript podr</w:t>
      </w:r>
      <w:r>
        <w:rPr>
          <w:highlight w:val="none"/>
        </w:rPr>
        <w:t xml:space="preserve">á almacenar diferentes tipos de valores. No tienen tipo.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Dar nombres a las variables: 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podremos usar palabras reservadas.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ni s</w:t>
      </w:r>
      <w:r>
        <w:rPr>
          <w:highlight w:val="none"/>
        </w:rPr>
        <w:t xml:space="preserve">ímbolos de puntuaci</w:t>
      </w:r>
      <w:r>
        <w:rPr>
          <w:highlight w:val="none"/>
        </w:rPr>
        <w:t xml:space="preserve">ón en el medio de la variable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ni la variable podr</w:t>
      </w:r>
      <w:r>
        <w:rPr>
          <w:highlight w:val="none"/>
        </w:rPr>
        <w:t xml:space="preserve">á contener espacios en blanco.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han de construir con caracteres alfanum</w:t>
      </w:r>
      <w:r>
        <w:rPr>
          <w:highlight w:val="none"/>
        </w:rPr>
        <w:t xml:space="preserve">éricos y el car</w:t>
      </w:r>
      <w:r>
        <w:rPr>
          <w:highlight w:val="none"/>
        </w:rPr>
        <w:t xml:space="preserve">ácter subrayado (_). 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podremos utilizar caracteres raros como el signo +, un espacio, %, $, etc. 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los nombres de variable y estos nombres no podr</w:t>
      </w:r>
      <w:r>
        <w:rPr>
          <w:highlight w:val="none"/>
        </w:rPr>
        <w:t xml:space="preserve">án comenzar con un n</w:t>
      </w:r>
      <w:r>
        <w:rPr>
          <w:highlight w:val="none"/>
        </w:rPr>
        <w:t xml:space="preserve">úmero.</w:t>
      </w:r>
      <w:r/>
      <w:r/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palabras se separaran con el s</w:t>
      </w:r>
      <w:r>
        <w:rPr>
          <w:highlight w:val="none"/>
        </w:rPr>
        <w:t xml:space="preserve">ímbolo “_” o may</w:t>
      </w:r>
      <w:r>
        <w:rPr>
          <w:highlight w:val="none"/>
        </w:rPr>
        <w:t xml:space="preserve">úsculas.</w:t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4.- Tipos de datos.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Tres tipos de datos:</w:t>
      </w:r>
      <w:r>
        <w:rPr>
          <w:highlight w:val="none"/>
        </w:rPr>
      </w:r>
    </w:p>
    <w:p>
      <w:pPr>
        <w:pStyle w:val="876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Booleano</w:t>
      </w:r>
      <w:r>
        <w:rPr>
          <w:highlight w:val="none"/>
        </w:rPr>
      </w:r>
    </w:p>
    <w:p>
      <w:pPr>
        <w:pStyle w:val="876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Num</w:t>
      </w:r>
      <w:r>
        <w:rPr>
          <w:highlight w:val="none"/>
        </w:rPr>
        <w:t xml:space="preserve">érico</w:t>
      </w:r>
      <w:r>
        <w:rPr>
          <w:highlight w:val="none"/>
        </w:rPr>
      </w:r>
    </w:p>
    <w:p>
      <w:pPr>
        <w:pStyle w:val="876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Cadena de caracteres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Palabra reservada </w:t>
      </w:r>
      <w:r>
        <w:rPr>
          <w:b/>
          <w:bCs/>
          <w:highlight w:val="none"/>
        </w:rPr>
        <w:t xml:space="preserve">null </w:t>
      </w:r>
      <w:r>
        <w:rPr>
          <w:highlight w:val="none"/>
        </w:rPr>
        <w:t xml:space="preserve">permite asignar un valor a una variable cuando todav</w:t>
      </w:r>
      <w:r>
        <w:rPr>
          <w:highlight w:val="none"/>
        </w:rPr>
        <w:t xml:space="preserve">ía se desconoce su tipo o tiene un valor inv</w:t>
      </w:r>
      <w:r>
        <w:rPr>
          <w:highlight w:val="none"/>
        </w:rPr>
        <w:t xml:space="preserve">álido.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El valor </w:t>
      </w:r>
      <w:r>
        <w:rPr>
          <w:b/>
          <w:bCs/>
          <w:highlight w:val="none"/>
        </w:rPr>
        <w:t xml:space="preserve">undefined </w:t>
      </w:r>
      <w:r>
        <w:rPr>
          <w:highlight w:val="none"/>
        </w:rPr>
        <w:t xml:space="preserve">se puede asignar a una variable cuando todav</w:t>
      </w:r>
      <w:r>
        <w:rPr>
          <w:highlight w:val="none"/>
        </w:rPr>
        <w:t xml:space="preserve">ía no conocemos su valor.</w:t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4.1.- Conversiones de tipos de datos.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Aunque los tipos de datos en JS son muy sencillos, a veces las operaciones no se realizan correctamente y esto es debido a la conversi</w:t>
      </w:r>
      <w:r>
        <w:rPr>
          <w:highlight w:val="none"/>
        </w:rPr>
        <w:t xml:space="preserve">ón de tipos. JS lo realiza de la mejor forma y autom</w:t>
      </w:r>
      <w:r>
        <w:rPr>
          <w:highlight w:val="none"/>
        </w:rPr>
        <w:t xml:space="preserve">ática.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La expresi</w:t>
      </w:r>
      <w:r>
        <w:rPr>
          <w:highlight w:val="none"/>
        </w:rPr>
        <w:t xml:space="preserve">ón se eval</w:t>
      </w:r>
      <w:r>
        <w:rPr>
          <w:highlight w:val="none"/>
        </w:rPr>
        <w:t xml:space="preserve">úa de izquierda a derecha.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Para convertir cadenas a n</w:t>
      </w:r>
      <w:r>
        <w:rPr>
          <w:highlight w:val="none"/>
        </w:rPr>
        <w:t xml:space="preserve">úmeros dispones de las funciones: </w:t>
      </w:r>
      <w:r>
        <w:rPr>
          <w:b/>
          <w:bCs/>
          <w:highlight w:val="none"/>
        </w:rPr>
        <w:t xml:space="preserve">parseInt() y parseFloat().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La conversi</w:t>
      </w:r>
      <w:r>
        <w:t xml:space="preserve">ón de n</w:t>
      </w:r>
      <w:r>
        <w:t xml:space="preserve">úmeros a cadenas, ya que simplemente se concatenar</w:t>
      </w:r>
      <w:r>
        <w:t xml:space="preserve">á una cadena vac</w:t>
      </w:r>
      <w:r>
        <w:t xml:space="preserve">ía al principio.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par</w:t>
      </w:r>
      <w:r>
        <w:rPr>
          <w:b/>
          <w:bCs/>
          <w:highlight w:val="none"/>
        </w:rPr>
        <w:t xml:space="preserve">éntesis </w:t>
      </w:r>
      <w:r>
        <w:rPr>
          <w:highlight w:val="none"/>
        </w:rPr>
        <w:t xml:space="preserve">fuerzan la conversi</w:t>
      </w:r>
      <w:r>
        <w:rPr>
          <w:highlight w:val="none"/>
        </w:rPr>
        <w:t xml:space="preserve">ón del n</w:t>
      </w:r>
      <w:r>
        <w:rPr>
          <w:highlight w:val="none"/>
        </w:rPr>
        <w:t xml:space="preserve">úmero a una cadena.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JavaScript tiene una propiedad asociada con ella que es la longitud </w:t>
      </w:r>
      <w:r>
        <w:rPr>
          <w:b/>
          <w:bCs/>
          <w:highlight w:val="none"/>
        </w:rPr>
        <w:t xml:space="preserve">length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5.- Operadores.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JS es un lenguaje rico en operadores: s</w:t>
      </w:r>
      <w:r>
        <w:rPr>
          <w:highlight w:val="none"/>
        </w:rPr>
        <w:t xml:space="preserve">ímbolos y palabras que realizan operaciones sobre uno o varios valores, para obtener un nuevo valor.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Cualquier valor se denomina operando. Y una expresi</w:t>
      </w:r>
      <w:r>
        <w:rPr>
          <w:highlight w:val="none"/>
        </w:rPr>
        <w:t xml:space="preserve">ón puede contener un operando y un operador o bien dos operandos separados por un operador.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Categor</w:t>
      </w:r>
      <w:r>
        <w:rPr>
          <w:highlight w:val="none"/>
        </w:rPr>
        <w:t xml:space="preserve">ías de operadores en JavaScript: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Comparaci</w:t>
      </w:r>
      <w:r>
        <w:rPr>
          <w:highlight w:val="none"/>
        </w:rPr>
        <w:t xml:space="preserve">ón: compara los valores de 2 operandos, devolviendo un resultado de true o false. </w:t>
      </w:r>
      <w:r>
        <w:rPr>
          <w:b/>
          <w:bCs/>
          <w:highlight w:val="none"/>
        </w:rPr>
        <w:t xml:space="preserve">== != === !== &gt; &gt;= &lt; &lt;=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Aritm</w:t>
      </w:r>
      <w:r>
        <w:rPr>
          <w:highlight w:val="none"/>
        </w:rPr>
        <w:t xml:space="preserve">éticos: unen dos operandos para producir un </w:t>
      </w:r>
      <w:r>
        <w:rPr>
          <w:highlight w:val="none"/>
        </w:rPr>
        <w:t xml:space="preserve">único valor. </w:t>
      </w:r>
      <w:r>
        <w:rPr>
          <w:b/>
          <w:bCs/>
          <w:highlight w:val="none"/>
        </w:rPr>
        <w:t xml:space="preserve">+ - * / % ++ — +valor –valor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Asignaci</w:t>
      </w:r>
      <w:r>
        <w:rPr>
          <w:highlight w:val="none"/>
        </w:rPr>
        <w:t xml:space="preserve">ón: asigna el valor a la derecha de la expresi</w:t>
      </w:r>
      <w:r>
        <w:rPr>
          <w:highlight w:val="none"/>
        </w:rPr>
        <w:t xml:space="preserve">ón a la variable que est</w:t>
      </w:r>
      <w:r>
        <w:rPr>
          <w:highlight w:val="none"/>
        </w:rPr>
        <w:t xml:space="preserve">á a la izquierda. </w:t>
      </w:r>
      <w:r>
        <w:rPr>
          <w:b/>
          <w:bCs/>
          <w:highlight w:val="none"/>
        </w:rPr>
        <w:t xml:space="preserve">= += -= *= /= %= &lt;&lt;= &gt;= &gt;&gt;= &gt;&gt;&gt;= &amp;= |= </w:t>
      </w:r>
      <w:r>
        <w:rPr>
          <w:b/>
          <w:bCs/>
          <w:highlight w:val="none"/>
        </w:rPr>
        <w:t xml:space="preserve">^= []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Booelan: operaciones booleanas aritm</w:t>
      </w:r>
      <w:r>
        <w:rPr>
          <w:highlight w:val="none"/>
        </w:rPr>
        <w:t xml:space="preserve">éticas sobre uno o dos operandos. </w:t>
      </w:r>
      <w:r>
        <w:rPr>
          <w:b/>
          <w:bCs/>
          <w:highlight w:val="none"/>
        </w:rPr>
        <w:t xml:space="preserve">&amp;&amp; || !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>
          <w:b/>
          <w:bCs/>
        </w:rPr>
      </w:pPr>
      <w:r>
        <w:rPr>
          <w:highlight w:val="none"/>
        </w:rPr>
        <w:t xml:space="preserve">Bit a bit: realizan operaciones aritm</w:t>
      </w:r>
      <w:r>
        <w:rPr>
          <w:highlight w:val="none"/>
        </w:rPr>
        <w:t xml:space="preserve">éticas o de desplazamiento de columna. </w:t>
      </w:r>
      <w:r>
        <w:rPr>
          <w:b/>
          <w:bCs/>
          <w:highlight w:val="none"/>
        </w:rPr>
        <w:t xml:space="preserve">&amp; | 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^ </w:t>
      </w:r>
      <w:r>
        <w:rPr>
          <w:b/>
          <w:bCs/>
          <w:highlight w:val="none"/>
        </w:rPr>
        <w:t xml:space="preserve">~ </w:t>
      </w:r>
      <w:r>
        <w:rPr>
          <w:b/>
          <w:bCs/>
          <w:highlight w:val="none"/>
        </w:rPr>
        <w:t xml:space="preserve">&lt;&lt; &gt;&gt; &gt;&gt;&gt;</w:t>
      </w:r>
      <w:r>
        <w:rPr>
          <w:b/>
          <w:bCs/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>
          <w:b/>
          <w:bCs/>
        </w:rPr>
      </w:pPr>
      <w:r>
        <w:rPr>
          <w:highlight w:val="none"/>
        </w:rPr>
        <w:t xml:space="preserve">Objeto: ayudan a los scripts a evaluar la herencia y capacidades de un objeto. </w:t>
      </w:r>
      <w:r>
        <w:rPr>
          <w:b/>
          <w:bCs/>
          <w:highlight w:val="none"/>
        </w:rPr>
        <w:t xml:space="preserve">[] . () delete in instanceOf new this</w:t>
      </w:r>
      <w:r>
        <w:rPr>
          <w:b/>
          <w:bCs/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Miscel</w:t>
      </w:r>
      <w:r>
        <w:rPr>
          <w:highlight w:val="none"/>
        </w:rPr>
        <w:t xml:space="preserve">áneos: operadores que tienen un comportamiento especial. </w:t>
      </w:r>
      <w:r>
        <w:rPr>
          <w:b/>
          <w:bCs/>
          <w:highlight w:val="none"/>
        </w:rPr>
        <w:t xml:space="preserve">, ?: typeof void</w:t>
      </w:r>
      <w:r>
        <w:rPr>
          <w:highlight w:val="none"/>
        </w:rPr>
      </w:r>
      <w:r>
        <w:rPr>
          <w:rFonts w:ascii="Arial" w:hAnsi="Arial" w:eastAsia="Arial" w:cs="Arial"/>
          <w:b/>
          <w:color w:val="000000"/>
          <w:sz w:val="22"/>
        </w:rPr>
      </w:r>
      <w:r/>
      <w:r/>
    </w:p>
    <w:p>
      <w:pPr>
        <w:pBdr/>
        <w:spacing/>
        <w:ind w:firstLine="0" w:left="0"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/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No Spacing"/>
    <w:basedOn w:val="872"/>
    <w:uiPriority w:val="1"/>
    <w:qFormat/>
    <w:pPr>
      <w:pBdr/>
      <w:spacing w:after="0" w:line="240" w:lineRule="auto"/>
      <w:ind/>
    </w:pPr>
  </w:style>
  <w:style w:type="paragraph" w:styleId="876">
    <w:name w:val="List Paragraph"/>
    <w:basedOn w:val="872"/>
    <w:uiPriority w:val="34"/>
    <w:qFormat/>
    <w:pPr>
      <w:pBdr/>
      <w:spacing/>
      <w:ind w:left="720"/>
      <w:contextualSpacing w:val="true"/>
    </w:pPr>
  </w:style>
  <w:style w:type="character" w:styleId="87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2023-11-30T20:59:03Z</dcterms:modified>
</cp:coreProperties>
</file>