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DWES05.- Programación orientada a objetos en PHP.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12413"/>
          <w:sz w:val="48"/>
        </w:rPr>
        <w:t xml:space="preserve">Orientaciones para el alumnado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Con lo que has visto hasta ahora, ya debes ser capaz de aventurarte por tu cuenta en la creación de pequeñas aplicaciones web, e incluso de ir solucionando los problemas que te puedan surgir en el proceso.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La presente unidad aporta un cambio importante en la forma de programar. No vas a aprender a hacer cosas nuevas, sino a hacerlas de forma distinta para lograr un código más estructurado.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12413"/>
          <w:sz w:val="24"/>
        </w:rPr>
        <w:t xml:space="preserve">Aunque existen muchas aplicaciones web plenamente funcionales que no utilizan objetos, la mayoría de lenguajes de programación hoy en día soportan esta metodología. Vas a aprender cómo programar aplicaciones orientadas a objetos directamente sobre </w:t>
      </w:r>
      <w:r>
        <w:rPr>
          <w:rFonts w:ascii="Helvetica" w:hAnsi="Helvetica" w:eastAsia="Helvetica" w:cs="Helvetica"/>
          <w:color w:val="612413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612413"/>
          <w:sz w:val="24"/>
        </w:rPr>
        <w:t xml:space="preserve">, aunque todo será más sencillo si tienes conocimientos previos de programación orientada a objetos en algún otro lenguaje como Java.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301"/>
        <w:gridCol w:w="4670"/>
        <w:gridCol w:w="1354"/>
        <w:gridCol w:w="880"/>
      </w:tblGrid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Nombre completo del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46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Desarrollo web en entorno servidor.</w:t>
            </w:r>
            <w:r/>
          </w:p>
        </w:tc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Siglas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MP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DWES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y título de la 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UT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05.- Programación orientada a objetos en PHP.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Índice o tabla de contenidos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04" w:type="dxa"/>
            <w:vAlign w:val="center"/>
            <w:textDirection w:val="lrTb"/>
            <w:noWrap w:val="false"/>
          </w:tcPr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Orientación a objetos en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Características de orientación a objetos en PHP.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clases.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clases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clases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Creación de clases (III).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objetos.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objetos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Utilización de objetos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Mecanismos de mantenimiento del estado.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Herencia.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Herencia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Herencia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Interfaces.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Interfaces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Ejemplo de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POO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en PHP.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Ejemplo de POO en PHP 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Programación en capas.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Namespaces en PHP.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Gestionar Dependencias. Composer.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Separación de la lógica de negocio.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Separación de la lógica de negocio (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).</w:t>
            </w:r>
            <w:r/>
          </w:p>
          <w:p>
            <w:pPr>
              <w:pStyle w:val="621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Generación del interface de usuario.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Objetivos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Generar componentes de acceso a datos, cumpliendo las especificaciones, para integrar contenidos en la lógica de una aplicación web.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Temporalización</w:t>
              <w:br/>
              <w:t xml:space="preserve">(estimación)</w:t>
            </w:r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estudiar los contenidos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18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la tarea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Tiempo necesario para completar el examen (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h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)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0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  <w:u w:val="none"/>
              </w:rPr>
              <w:t xml:space="preserve">Nº</w:t>
            </w: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 de días que se recomienda dedicar a esta unidad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27</w:t>
            </w:r>
            <w:r/>
          </w:p>
        </w:tc>
      </w:tr>
      <w:tr>
        <w:trPr/>
        <w:tc>
          <w:tcPr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La temporalización anterior no deja de ser una estimación media, ya que el tiempo a invertir va a depender mucho de las circunstancias personales de cada cual.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Consejos y recomendaciones</w:t>
            </w:r>
            <w:r/>
          </w:p>
        </w:tc>
        <w:tc>
          <w:tcPr>
            <w:gridSpan w:val="3"/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enfoque de esta unidad presupone cierto conocimiento de la programación orientada a objetos. Si eres nuevo en esta metodología de programación, es recomendable que te formes en ella previamente o al menos que utilices algún material de apoyo en el segui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miento de los contenidos.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555555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2024-06-06T17:18:50Z</dcterms:modified>
</cp:coreProperties>
</file>