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9640" w14:textId="5C636B66" w:rsidR="00EF1ABD" w:rsidRDefault="00EF1ABD" w:rsidP="00EF1ABD">
      <w:pPr>
        <w:pStyle w:val="Ttulo"/>
        <w:ind w:left="0"/>
        <w:rPr>
          <w:sz w:val="48"/>
        </w:rPr>
      </w:pPr>
      <w:r>
        <w:t xml:space="preserve">Tema 2: </w:t>
      </w:r>
      <w:r>
        <w:t>Economía y facturación en la nube.</w:t>
      </w:r>
    </w:p>
    <w:p w14:paraId="2A8FFAA1" w14:textId="6E042071" w:rsidR="00EF1ABD" w:rsidRPr="00EF1ABD" w:rsidRDefault="00EF1ABD" w:rsidP="00EF1ABD">
      <w:pPr>
        <w:pStyle w:val="NormalWeb"/>
        <w:ind w:left="0"/>
        <w:rPr>
          <w:i/>
          <w:iCs/>
        </w:rPr>
      </w:pPr>
      <w:r w:rsidRPr="00EF1ABD">
        <w:rPr>
          <w:i/>
          <w:iCs/>
        </w:rPr>
        <w:t>“</w:t>
      </w:r>
      <w:r w:rsidRPr="00EF1ABD">
        <w:rPr>
          <w:i/>
          <w:iCs/>
        </w:rPr>
        <w:t xml:space="preserve">El paso de la infraestructura tradicional a la </w:t>
      </w:r>
      <w:r w:rsidRPr="00EF1ABD">
        <w:rPr>
          <w:rStyle w:val="Textoennegrita"/>
          <w:rFonts w:eastAsiaTheme="majorEastAsia"/>
          <w:i/>
          <w:iCs/>
        </w:rPr>
        <w:t>computación en la nube</w:t>
      </w:r>
      <w:r w:rsidRPr="00EF1ABD">
        <w:rPr>
          <w:i/>
          <w:iCs/>
        </w:rPr>
        <w:t xml:space="preserve"> no solo representa un cambio técnico, sino también un cambio profundo en el </w:t>
      </w:r>
      <w:r w:rsidRPr="00EF1ABD">
        <w:rPr>
          <w:rStyle w:val="Textoennegrita"/>
          <w:rFonts w:eastAsiaTheme="majorEastAsia"/>
          <w:i/>
          <w:iCs/>
        </w:rPr>
        <w:t>modelo económico de consumo de servicios informáticos</w:t>
      </w:r>
      <w:r w:rsidRPr="00EF1ABD">
        <w:rPr>
          <w:i/>
          <w:iCs/>
        </w:rPr>
        <w:t xml:space="preserve">. A diferencia del modelo tradicional basado en inversión (CAPEX), el entorno </w:t>
      </w:r>
      <w:proofErr w:type="spellStart"/>
      <w:r w:rsidRPr="00EF1ABD">
        <w:rPr>
          <w:i/>
          <w:iCs/>
        </w:rPr>
        <w:t>cloud</w:t>
      </w:r>
      <w:proofErr w:type="spellEnd"/>
      <w:r w:rsidRPr="00EF1ABD">
        <w:rPr>
          <w:i/>
          <w:iCs/>
        </w:rPr>
        <w:t xml:space="preserve"> opera bajo una lógica de </w:t>
      </w:r>
      <w:r w:rsidRPr="00EF1ABD">
        <w:rPr>
          <w:rStyle w:val="Textoennegrita"/>
          <w:rFonts w:eastAsiaTheme="majorEastAsia"/>
          <w:i/>
          <w:iCs/>
        </w:rPr>
        <w:t>pago por uso</w:t>
      </w:r>
      <w:r w:rsidRPr="00EF1ABD">
        <w:rPr>
          <w:i/>
          <w:iCs/>
        </w:rPr>
        <w:t xml:space="preserve"> (OPEX), donde cada recurso —ya sea procesamiento, almacenamiento, red o servicios avanzados— se factura en función de su utilización real.</w:t>
      </w:r>
    </w:p>
    <w:p w14:paraId="708EC32F" w14:textId="0EE7B85A" w:rsidR="00EF1ABD" w:rsidRPr="00EF1ABD" w:rsidRDefault="00EF1ABD" w:rsidP="00EF1ABD">
      <w:pPr>
        <w:pStyle w:val="NormalWeb"/>
        <w:ind w:left="0"/>
        <w:rPr>
          <w:i/>
          <w:iCs/>
        </w:rPr>
      </w:pPr>
      <w:r w:rsidRPr="00EF1ABD">
        <w:rPr>
          <w:i/>
          <w:iCs/>
        </w:rPr>
        <w:t xml:space="preserve">Esto permite a las organizaciones </w:t>
      </w:r>
      <w:r w:rsidRPr="00EF1ABD">
        <w:rPr>
          <w:rStyle w:val="Textoennegrita"/>
          <w:rFonts w:eastAsiaTheme="majorEastAsia"/>
          <w:i/>
          <w:iCs/>
        </w:rPr>
        <w:t>adaptar sus costes al crecimiento del proyecto</w:t>
      </w:r>
      <w:r w:rsidRPr="00EF1ABD">
        <w:rPr>
          <w:i/>
          <w:iCs/>
        </w:rPr>
        <w:t>, evitando inversiones innecesarias y ganando flexibilidad operativa.</w:t>
      </w:r>
      <w:r w:rsidRPr="00EF1ABD">
        <w:rPr>
          <w:i/>
          <w:iCs/>
        </w:rPr>
        <w:t>”</w:t>
      </w:r>
    </w:p>
    <w:p w14:paraId="5400379D" w14:textId="77777777" w:rsidR="00EF1ABD" w:rsidRDefault="00EF1ABD" w:rsidP="00EF1ABD">
      <w:pPr>
        <w:pStyle w:val="Ttulo1"/>
        <w:ind w:left="0"/>
        <w:rPr>
          <w:sz w:val="48"/>
        </w:rPr>
      </w:pPr>
      <w:r>
        <w:t>1. Fundamentos de la facturación.</w:t>
      </w:r>
    </w:p>
    <w:p w14:paraId="27626145" w14:textId="0C2B63B8" w:rsidR="00EF1ABD" w:rsidRPr="00EF1ABD" w:rsidRDefault="00EF1ABD" w:rsidP="00EF1ABD">
      <w:pPr>
        <w:pStyle w:val="NormalWeb"/>
        <w:ind w:left="0"/>
        <w:rPr>
          <w:i/>
          <w:iCs/>
        </w:rPr>
      </w:pPr>
      <w:r>
        <w:rPr>
          <w:i/>
          <w:iCs/>
        </w:rPr>
        <w:t>“</w:t>
      </w:r>
      <w:r w:rsidRPr="00EF1ABD">
        <w:rPr>
          <w:i/>
          <w:iCs/>
        </w:rPr>
        <w:t xml:space="preserve">La facturación en la nube se basa en el principio de </w:t>
      </w:r>
      <w:r w:rsidRPr="00EF1ABD">
        <w:rPr>
          <w:rStyle w:val="Textoennegrita"/>
          <w:rFonts w:eastAsiaTheme="majorEastAsia"/>
          <w:i/>
          <w:iCs/>
        </w:rPr>
        <w:t>pago por uso</w:t>
      </w:r>
      <w:r w:rsidRPr="00EF1ABD">
        <w:rPr>
          <w:i/>
          <w:iCs/>
        </w:rPr>
        <w:t>, donde los usuarios solo pagan por los recursos que consumen, como almacenamiento, CPU, ancho de banda o servicios gestionados. Esto requiere entender cómo se calcula el consumo y cómo se traduce en coste.</w:t>
      </w:r>
      <w:r>
        <w:rPr>
          <w:i/>
          <w:iCs/>
        </w:rPr>
        <w:t>”</w:t>
      </w:r>
    </w:p>
    <w:p w14:paraId="043A68BD" w14:textId="77777777" w:rsidR="00EF1ABD" w:rsidRPr="00EF1ABD" w:rsidRDefault="00EF1ABD" w:rsidP="00EF1ABD">
      <w:pPr>
        <w:pStyle w:val="NormalWeb"/>
        <w:ind w:left="0"/>
      </w:pPr>
      <w:r w:rsidRPr="00EF1ABD">
        <w:rPr>
          <w:rStyle w:val="Textoennegrita"/>
          <w:rFonts w:eastAsiaTheme="majorEastAsia"/>
        </w:rPr>
        <w:t>¿Cómo funciona la facturación en la nube y qué la hace diferente del modelo tradicional?</w:t>
      </w:r>
    </w:p>
    <w:p w14:paraId="4FD0D7E0" w14:textId="77777777" w:rsidR="00EF1ABD" w:rsidRDefault="00EF1ABD" w:rsidP="00EF1ABD">
      <w:pPr>
        <w:pStyle w:val="NormalWeb"/>
        <w:ind w:left="0"/>
      </w:pPr>
      <w:r>
        <w:t>En el modelo tradicional (</w:t>
      </w:r>
      <w:proofErr w:type="spellStart"/>
      <w:r>
        <w:t>on</w:t>
      </w:r>
      <w:proofErr w:type="spellEnd"/>
      <w:r>
        <w:t>-premise), las empresas compraban y gestionaban su propia infraestructura, lo que implicaba altos costes iniciales (CAPEX) en servidores, licencias, energía, mantenimiento y personal técnico. Este modelo no siempre era eficiente, ya que muchos recursos podían sobrar o quedar infrautilizados.</w:t>
      </w:r>
    </w:p>
    <w:p w14:paraId="19F69594" w14:textId="77777777" w:rsidR="00EF1ABD" w:rsidRDefault="00EF1ABD" w:rsidP="00EF1ABD">
      <w:pPr>
        <w:pStyle w:val="NormalWeb"/>
        <w:ind w:left="0"/>
      </w:pPr>
      <w:r>
        <w:t xml:space="preserve">En cambio, en la </w:t>
      </w:r>
      <w:r>
        <w:rPr>
          <w:rStyle w:val="Textoennegrita"/>
          <w:rFonts w:eastAsiaTheme="majorEastAsia"/>
        </w:rPr>
        <w:t>nube</w:t>
      </w:r>
      <w:r>
        <w:t xml:space="preserve"> se utiliza un modelo de </w:t>
      </w:r>
      <w:r>
        <w:rPr>
          <w:rStyle w:val="Textoennegrita"/>
          <w:rFonts w:eastAsiaTheme="majorEastAsia"/>
        </w:rPr>
        <w:t>facturación por uso</w:t>
      </w:r>
      <w:r>
        <w:t xml:space="preserve">, también conocido como </w:t>
      </w:r>
      <w:r>
        <w:rPr>
          <w:rStyle w:val="Textoennegrita"/>
          <w:rFonts w:eastAsiaTheme="majorEastAsia"/>
        </w:rPr>
        <w:t>OPEX (gasto operativo)</w:t>
      </w:r>
      <w:r>
        <w:t xml:space="preserve">. Esto significa que los clientes </w:t>
      </w:r>
      <w:r>
        <w:rPr>
          <w:rStyle w:val="Textoennegrita"/>
          <w:rFonts w:eastAsiaTheme="majorEastAsia"/>
        </w:rPr>
        <w:t>solo pagan por lo que usan</w:t>
      </w:r>
      <w:r>
        <w:t>, durante el tiempo que lo usan. Los recursos más comunes que se facturan incluyen:</w:t>
      </w:r>
    </w:p>
    <w:p w14:paraId="23D50324" w14:textId="77777777" w:rsidR="00EF1ABD" w:rsidRDefault="00EF1ABD" w:rsidP="00EF1ABD">
      <w:pPr>
        <w:numPr>
          <w:ilvl w:val="0"/>
          <w:numId w:val="9"/>
        </w:numPr>
        <w:tabs>
          <w:tab w:val="clear" w:pos="720"/>
          <w:tab w:val="num" w:pos="436"/>
        </w:tabs>
        <w:spacing w:before="100" w:beforeAutospacing="1" w:after="100" w:afterAutospacing="1" w:line="240" w:lineRule="auto"/>
        <w:ind w:left="436"/>
        <w:jc w:val="left"/>
      </w:pPr>
      <w:r>
        <w:t>Instancias de máquinas virtuales (por segundo o minuto de uso)</w:t>
      </w:r>
    </w:p>
    <w:p w14:paraId="3DE654A5" w14:textId="77777777" w:rsidR="00EF1ABD" w:rsidRDefault="00EF1ABD" w:rsidP="00EF1ABD">
      <w:pPr>
        <w:numPr>
          <w:ilvl w:val="0"/>
          <w:numId w:val="9"/>
        </w:numPr>
        <w:tabs>
          <w:tab w:val="clear" w:pos="720"/>
          <w:tab w:val="num" w:pos="436"/>
        </w:tabs>
        <w:spacing w:before="100" w:beforeAutospacing="1" w:after="100" w:afterAutospacing="1" w:line="240" w:lineRule="auto"/>
        <w:ind w:left="436"/>
        <w:jc w:val="left"/>
      </w:pPr>
      <w:r>
        <w:t>Almacenamiento utilizado (GB/mes)</w:t>
      </w:r>
    </w:p>
    <w:p w14:paraId="484A0C3E" w14:textId="77777777" w:rsidR="00EF1ABD" w:rsidRDefault="00EF1ABD" w:rsidP="00EF1ABD">
      <w:pPr>
        <w:numPr>
          <w:ilvl w:val="0"/>
          <w:numId w:val="9"/>
        </w:numPr>
        <w:tabs>
          <w:tab w:val="clear" w:pos="720"/>
          <w:tab w:val="num" w:pos="436"/>
        </w:tabs>
        <w:spacing w:before="100" w:beforeAutospacing="1" w:after="100" w:afterAutospacing="1" w:line="240" w:lineRule="auto"/>
        <w:ind w:left="436"/>
        <w:jc w:val="left"/>
      </w:pPr>
      <w:r>
        <w:t>Tráfico de red saliente (por GB)</w:t>
      </w:r>
    </w:p>
    <w:p w14:paraId="5BC4793E" w14:textId="77777777" w:rsidR="00EF1ABD" w:rsidRDefault="00EF1ABD" w:rsidP="00EF1ABD">
      <w:pPr>
        <w:numPr>
          <w:ilvl w:val="0"/>
          <w:numId w:val="9"/>
        </w:numPr>
        <w:tabs>
          <w:tab w:val="clear" w:pos="720"/>
          <w:tab w:val="num" w:pos="436"/>
        </w:tabs>
        <w:spacing w:before="100" w:beforeAutospacing="1" w:after="100" w:afterAutospacing="1" w:line="240" w:lineRule="auto"/>
        <w:ind w:left="436"/>
        <w:jc w:val="left"/>
      </w:pPr>
      <w:r>
        <w:t xml:space="preserve">Consultas o llamadas a </w:t>
      </w:r>
      <w:proofErr w:type="spellStart"/>
      <w:r>
        <w:t>APIs</w:t>
      </w:r>
      <w:proofErr w:type="spellEnd"/>
      <w:r>
        <w:t xml:space="preserve"> (por operación)</w:t>
      </w:r>
    </w:p>
    <w:p w14:paraId="1B6C2DBF" w14:textId="77777777" w:rsidR="00EF1ABD" w:rsidRDefault="00EF1ABD" w:rsidP="00EF1ABD">
      <w:pPr>
        <w:numPr>
          <w:ilvl w:val="0"/>
          <w:numId w:val="9"/>
        </w:numPr>
        <w:tabs>
          <w:tab w:val="clear" w:pos="720"/>
          <w:tab w:val="num" w:pos="436"/>
        </w:tabs>
        <w:spacing w:before="100" w:beforeAutospacing="1" w:after="100" w:afterAutospacing="1" w:line="240" w:lineRule="auto"/>
        <w:ind w:left="436"/>
        <w:jc w:val="left"/>
      </w:pPr>
      <w:r>
        <w:t>Servicios gestionados como bases de datos, funciones sin servidor o balanceadores de carga</w:t>
      </w:r>
    </w:p>
    <w:p w14:paraId="2023B348" w14:textId="77777777" w:rsidR="00EF1ABD" w:rsidRDefault="00EF1ABD" w:rsidP="00EF1ABD">
      <w:pPr>
        <w:pStyle w:val="NormalWeb"/>
        <w:ind w:left="0"/>
      </w:pPr>
      <w:r>
        <w:t xml:space="preserve">Este enfoque ofrece </w:t>
      </w:r>
      <w:r>
        <w:rPr>
          <w:rStyle w:val="Textoennegrita"/>
          <w:rFonts w:eastAsiaTheme="majorEastAsia"/>
        </w:rPr>
        <w:t>flexibilidad, escalabilidad y control de costes</w:t>
      </w:r>
      <w:r>
        <w:t>, ya que se puede ajustar el consumo según la demanda real del sistema.</w:t>
      </w:r>
    </w:p>
    <w:p w14:paraId="3B606345" w14:textId="77777777" w:rsidR="007D7EE0" w:rsidRPr="007D7EE0" w:rsidRDefault="007D7EE0" w:rsidP="007D7EE0">
      <w:pPr>
        <w:spacing w:before="100" w:beforeAutospacing="1" w:after="100" w:afterAutospacing="1" w:line="240" w:lineRule="auto"/>
        <w:ind w:left="0"/>
        <w:jc w:val="left"/>
        <w:rPr>
          <w:rFonts w:eastAsia="Times New Roman" w:cs="Times New Roman"/>
          <w:szCs w:val="24"/>
          <w:lang w:eastAsia="es-ES_tradnl"/>
        </w:rPr>
      </w:pPr>
      <w:r w:rsidRPr="007D7EE0">
        <w:rPr>
          <w:rFonts w:eastAsia="Times New Roman" w:cs="Times New Roman"/>
          <w:szCs w:val="24"/>
          <w:lang w:eastAsia="es-ES_tradnl"/>
        </w:rPr>
        <w:t xml:space="preserve">Para comprender las diferencias clave entre el modelo clásico de infraestructura local y la computación en la nube, es útil compararlos directamente en cuanto a </w:t>
      </w:r>
      <w:r w:rsidRPr="007D7EE0">
        <w:rPr>
          <w:rFonts w:eastAsia="Times New Roman" w:cs="Times New Roman"/>
          <w:b/>
          <w:bCs/>
          <w:szCs w:val="24"/>
          <w:lang w:eastAsia="es-ES_tradnl"/>
        </w:rPr>
        <w:t>modelo de pago, escalabilidad, gestión de recursos y mantenimiento</w:t>
      </w:r>
      <w:r w:rsidRPr="007D7EE0">
        <w:rPr>
          <w:rFonts w:eastAsia="Times New Roman" w:cs="Times New Roman"/>
          <w:szCs w:val="24"/>
          <w:lang w:eastAsia="es-ES_tradnl"/>
        </w:rPr>
        <w:t>.</w:t>
      </w:r>
    </w:p>
    <w:p w14:paraId="7BCD1F23" w14:textId="77777777" w:rsidR="007D7EE0" w:rsidRPr="007D7EE0" w:rsidRDefault="007D7EE0" w:rsidP="007D7EE0">
      <w:pPr>
        <w:spacing w:before="100" w:beforeAutospacing="1" w:after="100" w:afterAutospacing="1" w:line="240" w:lineRule="auto"/>
        <w:ind w:left="0"/>
        <w:jc w:val="left"/>
        <w:rPr>
          <w:rFonts w:eastAsia="Times New Roman" w:cs="Times New Roman"/>
          <w:szCs w:val="24"/>
          <w:lang w:eastAsia="es-ES_tradnl"/>
        </w:rPr>
      </w:pPr>
      <w:r w:rsidRPr="007D7EE0">
        <w:rPr>
          <w:rFonts w:eastAsia="Times New Roman" w:cs="Times New Roman"/>
          <w:szCs w:val="24"/>
          <w:lang w:eastAsia="es-ES_tradnl"/>
        </w:rPr>
        <w:lastRenderedPageBreak/>
        <w:t xml:space="preserve">Esta tabla resume cómo cambia la gestión de costes y responsabilidades al adoptar soluciones </w:t>
      </w:r>
      <w:proofErr w:type="spellStart"/>
      <w:r w:rsidRPr="007D7EE0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7D7EE0">
        <w:rPr>
          <w:rFonts w:eastAsia="Times New Roman" w:cs="Times New Roman"/>
          <w:szCs w:val="24"/>
          <w:lang w:eastAsia="es-ES_tradnl"/>
        </w:rPr>
        <w:t xml:space="preserve"> frente a sistemas tradicionales.</w:t>
      </w:r>
    </w:p>
    <w:tbl>
      <w:tblPr>
        <w:tblStyle w:val="Tablaconcuadrcula5oscura-nfasis1"/>
        <w:tblW w:w="5000" w:type="pct"/>
        <w:tblLook w:val="04A0" w:firstRow="1" w:lastRow="0" w:firstColumn="1" w:lastColumn="0" w:noHBand="0" w:noVBand="1"/>
      </w:tblPr>
      <w:tblGrid>
        <w:gridCol w:w="2372"/>
        <w:gridCol w:w="4176"/>
        <w:gridCol w:w="3522"/>
      </w:tblGrid>
      <w:tr w:rsidR="007D7EE0" w:rsidRPr="007D7EE0" w14:paraId="6848C4E5" w14:textId="77777777" w:rsidTr="007D7E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hideMark/>
          </w:tcPr>
          <w:p w14:paraId="07307017" w14:textId="42ACB7DA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 Facturación tradicional vs. en la nube</w:t>
            </w:r>
          </w:p>
        </w:tc>
      </w:tr>
      <w:tr w:rsidR="007D7EE0" w:rsidRPr="007D7EE0" w14:paraId="54F57333" w14:textId="77777777" w:rsidTr="007D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B67B47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Característica</w:t>
            </w:r>
          </w:p>
        </w:tc>
        <w:tc>
          <w:tcPr>
            <w:tcW w:w="0" w:type="auto"/>
            <w:hideMark/>
          </w:tcPr>
          <w:p w14:paraId="55A436D2" w14:textId="77777777" w:rsidR="007D7EE0" w:rsidRPr="007D7EE0" w:rsidRDefault="007D7EE0" w:rsidP="007D7EE0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b/>
                <w:bCs/>
                <w:sz w:val="20"/>
                <w:lang w:eastAsia="es-ES_tradnl"/>
              </w:rPr>
              <w:t>Modelo tradicional (</w:t>
            </w:r>
            <w:proofErr w:type="spellStart"/>
            <w:r w:rsidRPr="007D7EE0">
              <w:rPr>
                <w:rFonts w:eastAsia="Times New Roman" w:cs="Times New Roman"/>
                <w:b/>
                <w:bCs/>
                <w:sz w:val="20"/>
                <w:lang w:eastAsia="es-ES_tradnl"/>
              </w:rPr>
              <w:t>on</w:t>
            </w:r>
            <w:proofErr w:type="spellEnd"/>
            <w:r w:rsidRPr="007D7EE0">
              <w:rPr>
                <w:rFonts w:eastAsia="Times New Roman" w:cs="Times New Roman"/>
                <w:b/>
                <w:bCs/>
                <w:sz w:val="20"/>
                <w:lang w:eastAsia="es-ES_tradnl"/>
              </w:rPr>
              <w:t>-premise)</w:t>
            </w:r>
          </w:p>
        </w:tc>
        <w:tc>
          <w:tcPr>
            <w:tcW w:w="0" w:type="auto"/>
            <w:hideMark/>
          </w:tcPr>
          <w:p w14:paraId="17D802F0" w14:textId="77777777" w:rsidR="007D7EE0" w:rsidRPr="007D7EE0" w:rsidRDefault="007D7EE0" w:rsidP="007D7EE0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b/>
                <w:bCs/>
                <w:sz w:val="20"/>
                <w:lang w:eastAsia="es-ES_tradnl"/>
              </w:rPr>
              <w:t>Modelo en la nube</w:t>
            </w:r>
          </w:p>
        </w:tc>
      </w:tr>
      <w:tr w:rsidR="007D7EE0" w:rsidRPr="007D7EE0" w14:paraId="184F1913" w14:textId="77777777" w:rsidTr="007D7E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14657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Forma de pago</w:t>
            </w:r>
          </w:p>
        </w:tc>
        <w:tc>
          <w:tcPr>
            <w:tcW w:w="0" w:type="auto"/>
            <w:hideMark/>
          </w:tcPr>
          <w:p w14:paraId="34045724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Inversión inicial (CAPEX)</w:t>
            </w:r>
          </w:p>
        </w:tc>
        <w:tc>
          <w:tcPr>
            <w:tcW w:w="0" w:type="auto"/>
            <w:hideMark/>
          </w:tcPr>
          <w:p w14:paraId="258FCA42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Pago por uso (OPEX)</w:t>
            </w:r>
          </w:p>
        </w:tc>
      </w:tr>
      <w:tr w:rsidR="007D7EE0" w:rsidRPr="007D7EE0" w14:paraId="74CEA81D" w14:textId="77777777" w:rsidTr="007D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1B23D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Escalabilidad</w:t>
            </w:r>
          </w:p>
        </w:tc>
        <w:tc>
          <w:tcPr>
            <w:tcW w:w="0" w:type="auto"/>
            <w:hideMark/>
          </w:tcPr>
          <w:p w14:paraId="639F9ACF" w14:textId="77777777" w:rsidR="007D7EE0" w:rsidRPr="007D7EE0" w:rsidRDefault="007D7EE0" w:rsidP="007D7EE0">
            <w:pPr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Limitada y lenta</w:t>
            </w:r>
          </w:p>
        </w:tc>
        <w:tc>
          <w:tcPr>
            <w:tcW w:w="0" w:type="auto"/>
            <w:hideMark/>
          </w:tcPr>
          <w:p w14:paraId="7D02F06E" w14:textId="77777777" w:rsidR="007D7EE0" w:rsidRPr="007D7EE0" w:rsidRDefault="007D7EE0" w:rsidP="007D7EE0">
            <w:pPr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Rápida y automática</w:t>
            </w:r>
          </w:p>
        </w:tc>
      </w:tr>
      <w:tr w:rsidR="007D7EE0" w:rsidRPr="007D7EE0" w14:paraId="3A390F28" w14:textId="77777777" w:rsidTr="007D7E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45FFD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Recursos</w:t>
            </w:r>
          </w:p>
        </w:tc>
        <w:tc>
          <w:tcPr>
            <w:tcW w:w="0" w:type="auto"/>
            <w:hideMark/>
          </w:tcPr>
          <w:p w14:paraId="23B345B4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Infraestructura fija</w:t>
            </w:r>
          </w:p>
        </w:tc>
        <w:tc>
          <w:tcPr>
            <w:tcW w:w="0" w:type="auto"/>
            <w:hideMark/>
          </w:tcPr>
          <w:p w14:paraId="2F85C73C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Escalado dinámico</w:t>
            </w:r>
          </w:p>
        </w:tc>
      </w:tr>
      <w:tr w:rsidR="007D7EE0" w:rsidRPr="007D7EE0" w14:paraId="586E6ED5" w14:textId="77777777" w:rsidTr="007D7E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73A83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Coste si no se usa</w:t>
            </w:r>
          </w:p>
        </w:tc>
        <w:tc>
          <w:tcPr>
            <w:tcW w:w="0" w:type="auto"/>
            <w:hideMark/>
          </w:tcPr>
          <w:p w14:paraId="425C8A48" w14:textId="77777777" w:rsidR="007D7EE0" w:rsidRPr="007D7EE0" w:rsidRDefault="007D7EE0" w:rsidP="007D7EE0">
            <w:pPr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Sigue generando gasto</w:t>
            </w:r>
          </w:p>
        </w:tc>
        <w:tc>
          <w:tcPr>
            <w:tcW w:w="0" w:type="auto"/>
            <w:hideMark/>
          </w:tcPr>
          <w:p w14:paraId="7331CC10" w14:textId="77777777" w:rsidR="007D7EE0" w:rsidRPr="007D7EE0" w:rsidRDefault="007D7EE0" w:rsidP="007D7EE0">
            <w:pPr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No se paga si no se consume</w:t>
            </w:r>
          </w:p>
        </w:tc>
      </w:tr>
      <w:tr w:rsidR="007D7EE0" w:rsidRPr="007D7EE0" w14:paraId="4DD101B4" w14:textId="77777777" w:rsidTr="007D7E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EC64F" w14:textId="77777777" w:rsidR="007D7EE0" w:rsidRPr="007D7EE0" w:rsidRDefault="007D7EE0" w:rsidP="007D7EE0">
            <w:pPr>
              <w:ind w:left="0"/>
              <w:jc w:val="center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Mantenimiento</w:t>
            </w:r>
          </w:p>
        </w:tc>
        <w:tc>
          <w:tcPr>
            <w:tcW w:w="0" w:type="auto"/>
            <w:hideMark/>
          </w:tcPr>
          <w:p w14:paraId="292A91E1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A cargo del cliente</w:t>
            </w:r>
          </w:p>
        </w:tc>
        <w:tc>
          <w:tcPr>
            <w:tcW w:w="0" w:type="auto"/>
            <w:hideMark/>
          </w:tcPr>
          <w:p w14:paraId="612B1BA9" w14:textId="77777777" w:rsidR="007D7EE0" w:rsidRPr="007D7EE0" w:rsidRDefault="007D7EE0" w:rsidP="007D7EE0">
            <w:pPr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lang w:eastAsia="es-ES_tradnl"/>
              </w:rPr>
            </w:pPr>
            <w:r w:rsidRPr="007D7EE0">
              <w:rPr>
                <w:rFonts w:eastAsia="Times New Roman" w:cs="Times New Roman"/>
                <w:sz w:val="20"/>
                <w:lang w:eastAsia="es-ES_tradnl"/>
              </w:rPr>
              <w:t>A cargo del proveedor</w:t>
            </w:r>
          </w:p>
        </w:tc>
      </w:tr>
    </w:tbl>
    <w:p w14:paraId="3397A5BB" w14:textId="77777777" w:rsidR="00E326DE" w:rsidRDefault="00E326DE" w:rsidP="00EF1ABD">
      <w:pPr>
        <w:ind w:left="0"/>
      </w:pPr>
    </w:p>
    <w:p w14:paraId="322DD084" w14:textId="50F34933" w:rsidR="007D7EE0" w:rsidRPr="00AC0BFF" w:rsidRDefault="007D7EE0" w:rsidP="00AC0BFF">
      <w:pPr>
        <w:ind w:left="0"/>
        <w:rPr>
          <w:b/>
          <w:bCs/>
          <w:sz w:val="36"/>
        </w:rPr>
      </w:pPr>
      <w:r w:rsidRPr="007D7EE0">
        <w:rPr>
          <w:b/>
          <w:bCs/>
        </w:rPr>
        <w:t>Debes conocer</w:t>
      </w:r>
      <w:r w:rsidR="00AC0BFF">
        <w:rPr>
          <w:b/>
          <w:bCs/>
        </w:rPr>
        <w:t xml:space="preserve">: </w:t>
      </w:r>
      <w:r w:rsidRPr="007D7EE0">
        <w:rPr>
          <w:i/>
          <w:iCs/>
        </w:rPr>
        <w:t xml:space="preserve">La mayoría de plataformas </w:t>
      </w:r>
      <w:proofErr w:type="spellStart"/>
      <w:r w:rsidRPr="007D7EE0">
        <w:rPr>
          <w:i/>
          <w:iCs/>
        </w:rPr>
        <w:t>cloud</w:t>
      </w:r>
      <w:proofErr w:type="spellEnd"/>
      <w:r w:rsidRPr="007D7EE0">
        <w:rPr>
          <w:i/>
          <w:iCs/>
        </w:rPr>
        <w:t xml:space="preserve"> ofrecen un </w:t>
      </w:r>
      <w:r w:rsidRPr="007D7EE0">
        <w:rPr>
          <w:rStyle w:val="Textoennegrita"/>
          <w:i/>
          <w:iCs/>
        </w:rPr>
        <w:t>nivel gratuito</w:t>
      </w:r>
      <w:r w:rsidRPr="007D7EE0">
        <w:rPr>
          <w:i/>
          <w:iCs/>
        </w:rPr>
        <w:t xml:space="preserve"> (free </w:t>
      </w:r>
      <w:proofErr w:type="spellStart"/>
      <w:r w:rsidRPr="007D7EE0">
        <w:rPr>
          <w:i/>
          <w:iCs/>
        </w:rPr>
        <w:t>tier</w:t>
      </w:r>
      <w:proofErr w:type="spellEnd"/>
      <w:r w:rsidRPr="007D7EE0">
        <w:rPr>
          <w:i/>
          <w:iCs/>
        </w:rPr>
        <w:t xml:space="preserve">) con recursos limitados, lo que permite probar servicios sin coste. Además, muchos servicios se facturan </w:t>
      </w:r>
      <w:r w:rsidRPr="007D7EE0">
        <w:rPr>
          <w:rStyle w:val="Textoennegrita"/>
          <w:i/>
          <w:iCs/>
        </w:rPr>
        <w:t>por segundos o milisegundos</w:t>
      </w:r>
      <w:r w:rsidRPr="007D7EE0">
        <w:rPr>
          <w:i/>
          <w:iCs/>
        </w:rPr>
        <w:t xml:space="preserve">, como las </w:t>
      </w:r>
      <w:r w:rsidRPr="007D7EE0">
        <w:rPr>
          <w:rStyle w:val="Textoennegrita"/>
          <w:i/>
          <w:iCs/>
        </w:rPr>
        <w:t>funciones sin servidor (</w:t>
      </w:r>
      <w:proofErr w:type="spellStart"/>
      <w:r w:rsidRPr="007D7EE0">
        <w:rPr>
          <w:rStyle w:val="Textoennegrita"/>
          <w:i/>
          <w:iCs/>
        </w:rPr>
        <w:t>serverless</w:t>
      </w:r>
      <w:proofErr w:type="spellEnd"/>
      <w:r w:rsidRPr="007D7EE0">
        <w:rPr>
          <w:rStyle w:val="Textoennegrita"/>
          <w:i/>
          <w:iCs/>
        </w:rPr>
        <w:t>)</w:t>
      </w:r>
      <w:r w:rsidRPr="007D7EE0">
        <w:rPr>
          <w:i/>
          <w:iCs/>
        </w:rPr>
        <w:t>. Esto permite ejecutar pequeñas tareas automatizadas que solo cuestan fracciones de céntimo, haciendo posible diseñar arquitecturas eficientes y de muy bajo coste.</w:t>
      </w:r>
    </w:p>
    <w:p w14:paraId="19A6DDA1" w14:textId="77777777" w:rsidR="007D7EE0" w:rsidRDefault="007D7EE0" w:rsidP="00EF1ABD">
      <w:pPr>
        <w:ind w:left="0"/>
      </w:pPr>
    </w:p>
    <w:p w14:paraId="013E00AE" w14:textId="77777777" w:rsidR="007D7EE0" w:rsidRPr="00563261" w:rsidRDefault="007D7EE0" w:rsidP="00EF1ABD">
      <w:pPr>
        <w:ind w:left="0"/>
      </w:pPr>
    </w:p>
    <w:sectPr w:rsidR="007D7EE0" w:rsidRPr="00563261" w:rsidSect="00E326DE">
      <w:headerReference w:type="default" r:id="rId10"/>
      <w:footerReference w:type="default" r:id="rId11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5BDFA" w14:textId="77777777" w:rsidR="00DD6C95" w:rsidRDefault="00DD6C95" w:rsidP="006C60CA">
      <w:pPr>
        <w:spacing w:after="0" w:line="240" w:lineRule="auto"/>
      </w:pPr>
      <w:r>
        <w:separator/>
      </w:r>
    </w:p>
  </w:endnote>
  <w:endnote w:type="continuationSeparator" w:id="0">
    <w:p w14:paraId="77F9155A" w14:textId="77777777" w:rsidR="00DD6C95" w:rsidRDefault="00DD6C95" w:rsidP="006C60CA">
      <w:pPr>
        <w:spacing w:after="0" w:line="240" w:lineRule="auto"/>
      </w:pPr>
      <w:r>
        <w:continuationSeparator/>
      </w:r>
    </w:p>
  </w:endnote>
  <w:endnote w:type="continuationNotice" w:id="1">
    <w:p w14:paraId="224C091F" w14:textId="77777777" w:rsidR="00DD6C95" w:rsidRDefault="00DD6C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9BFBD" w14:textId="77777777" w:rsidR="00DD6C95" w:rsidRDefault="00DD6C95" w:rsidP="006C60CA">
      <w:pPr>
        <w:spacing w:after="0" w:line="240" w:lineRule="auto"/>
      </w:pPr>
      <w:r>
        <w:separator/>
      </w:r>
    </w:p>
  </w:footnote>
  <w:footnote w:type="continuationSeparator" w:id="0">
    <w:p w14:paraId="73C9A788" w14:textId="77777777" w:rsidR="00DD6C95" w:rsidRDefault="00DD6C95" w:rsidP="006C60CA">
      <w:pPr>
        <w:spacing w:after="0" w:line="240" w:lineRule="auto"/>
      </w:pPr>
      <w:r>
        <w:continuationSeparator/>
      </w:r>
    </w:p>
  </w:footnote>
  <w:footnote w:type="continuationNotice" w:id="1">
    <w:p w14:paraId="49613B6C" w14:textId="77777777" w:rsidR="00DD6C95" w:rsidRDefault="00DD6C9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0DE3"/>
    <w:multiLevelType w:val="hybridMultilevel"/>
    <w:tmpl w:val="CED8B89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9B2A40"/>
    <w:multiLevelType w:val="multilevel"/>
    <w:tmpl w:val="2F2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344F09"/>
    <w:multiLevelType w:val="multilevel"/>
    <w:tmpl w:val="8C3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D2422F"/>
    <w:multiLevelType w:val="multilevel"/>
    <w:tmpl w:val="8A2C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66A09"/>
    <w:multiLevelType w:val="hybridMultilevel"/>
    <w:tmpl w:val="50A409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0A4DF1"/>
    <w:multiLevelType w:val="multilevel"/>
    <w:tmpl w:val="C4CC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3146D"/>
    <w:multiLevelType w:val="hybridMultilevel"/>
    <w:tmpl w:val="B89E0D7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8D67956"/>
    <w:multiLevelType w:val="hybridMultilevel"/>
    <w:tmpl w:val="6EA2B17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0995872">
    <w:abstractNumId w:val="3"/>
  </w:num>
  <w:num w:numId="2" w16cid:durableId="1688872751">
    <w:abstractNumId w:val="4"/>
  </w:num>
  <w:num w:numId="3" w16cid:durableId="2134979419">
    <w:abstractNumId w:val="5"/>
  </w:num>
  <w:num w:numId="4" w16cid:durableId="360789633">
    <w:abstractNumId w:val="1"/>
  </w:num>
  <w:num w:numId="5" w16cid:durableId="275328101">
    <w:abstractNumId w:val="2"/>
  </w:num>
  <w:num w:numId="6" w16cid:durableId="728958998">
    <w:abstractNumId w:val="7"/>
  </w:num>
  <w:num w:numId="7" w16cid:durableId="1292009330">
    <w:abstractNumId w:val="0"/>
  </w:num>
  <w:num w:numId="8" w16cid:durableId="1388916411">
    <w:abstractNumId w:val="8"/>
  </w:num>
  <w:num w:numId="9" w16cid:durableId="13610118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47042"/>
    <w:rsid w:val="00056038"/>
    <w:rsid w:val="00070E9D"/>
    <w:rsid w:val="000843C8"/>
    <w:rsid w:val="00096924"/>
    <w:rsid w:val="000A0E4B"/>
    <w:rsid w:val="000A4C3F"/>
    <w:rsid w:val="000E2901"/>
    <w:rsid w:val="00106762"/>
    <w:rsid w:val="00145B2A"/>
    <w:rsid w:val="00155109"/>
    <w:rsid w:val="0018473C"/>
    <w:rsid w:val="001A264A"/>
    <w:rsid w:val="001A7924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56B0A"/>
    <w:rsid w:val="00266CD9"/>
    <w:rsid w:val="002727EA"/>
    <w:rsid w:val="002746F3"/>
    <w:rsid w:val="00282B41"/>
    <w:rsid w:val="002846B2"/>
    <w:rsid w:val="002B7EDF"/>
    <w:rsid w:val="002E1469"/>
    <w:rsid w:val="002F18DA"/>
    <w:rsid w:val="00310D34"/>
    <w:rsid w:val="003179EB"/>
    <w:rsid w:val="00321AD2"/>
    <w:rsid w:val="00335686"/>
    <w:rsid w:val="0034443D"/>
    <w:rsid w:val="00354A0A"/>
    <w:rsid w:val="003602F8"/>
    <w:rsid w:val="00364DDE"/>
    <w:rsid w:val="00376936"/>
    <w:rsid w:val="00382801"/>
    <w:rsid w:val="003A309D"/>
    <w:rsid w:val="003F04FE"/>
    <w:rsid w:val="003F47F4"/>
    <w:rsid w:val="004038F8"/>
    <w:rsid w:val="00412D98"/>
    <w:rsid w:val="00426A0D"/>
    <w:rsid w:val="00444CFC"/>
    <w:rsid w:val="00445FED"/>
    <w:rsid w:val="004706D5"/>
    <w:rsid w:val="004901EA"/>
    <w:rsid w:val="004B0C92"/>
    <w:rsid w:val="004B58A8"/>
    <w:rsid w:val="004C3E25"/>
    <w:rsid w:val="005177B1"/>
    <w:rsid w:val="00563261"/>
    <w:rsid w:val="005C019D"/>
    <w:rsid w:val="005C19ED"/>
    <w:rsid w:val="00603B4F"/>
    <w:rsid w:val="00606E74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6BC4"/>
    <w:rsid w:val="006D7DCB"/>
    <w:rsid w:val="006F3994"/>
    <w:rsid w:val="00771FD7"/>
    <w:rsid w:val="007A608C"/>
    <w:rsid w:val="007C6CF1"/>
    <w:rsid w:val="007D7EE0"/>
    <w:rsid w:val="00813057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651C5"/>
    <w:rsid w:val="00975003"/>
    <w:rsid w:val="00986E0B"/>
    <w:rsid w:val="009C406A"/>
    <w:rsid w:val="009E3C73"/>
    <w:rsid w:val="00A11099"/>
    <w:rsid w:val="00A46A5C"/>
    <w:rsid w:val="00A52317"/>
    <w:rsid w:val="00A704FA"/>
    <w:rsid w:val="00A76BA3"/>
    <w:rsid w:val="00A812E8"/>
    <w:rsid w:val="00A86973"/>
    <w:rsid w:val="00AC0BFF"/>
    <w:rsid w:val="00AC39F4"/>
    <w:rsid w:val="00AE1250"/>
    <w:rsid w:val="00AE62B6"/>
    <w:rsid w:val="00B24E54"/>
    <w:rsid w:val="00B338EB"/>
    <w:rsid w:val="00B63A0F"/>
    <w:rsid w:val="00B6638D"/>
    <w:rsid w:val="00B67C53"/>
    <w:rsid w:val="00B75EB9"/>
    <w:rsid w:val="00B77751"/>
    <w:rsid w:val="00B90E87"/>
    <w:rsid w:val="00B9398C"/>
    <w:rsid w:val="00BB220F"/>
    <w:rsid w:val="00BB7D0E"/>
    <w:rsid w:val="00BC2FA1"/>
    <w:rsid w:val="00BD32F7"/>
    <w:rsid w:val="00BD6D12"/>
    <w:rsid w:val="00BE6A92"/>
    <w:rsid w:val="00BF040D"/>
    <w:rsid w:val="00BF2C26"/>
    <w:rsid w:val="00C077B1"/>
    <w:rsid w:val="00C6288D"/>
    <w:rsid w:val="00C6394D"/>
    <w:rsid w:val="00C6579B"/>
    <w:rsid w:val="00C72089"/>
    <w:rsid w:val="00C910A0"/>
    <w:rsid w:val="00C911DB"/>
    <w:rsid w:val="00D11957"/>
    <w:rsid w:val="00D14C40"/>
    <w:rsid w:val="00D522F1"/>
    <w:rsid w:val="00D543FB"/>
    <w:rsid w:val="00D70F1F"/>
    <w:rsid w:val="00D74325"/>
    <w:rsid w:val="00DD6C95"/>
    <w:rsid w:val="00DE63A0"/>
    <w:rsid w:val="00E326DE"/>
    <w:rsid w:val="00E45BAF"/>
    <w:rsid w:val="00E53E18"/>
    <w:rsid w:val="00E70226"/>
    <w:rsid w:val="00E91A65"/>
    <w:rsid w:val="00E932FC"/>
    <w:rsid w:val="00E96D3C"/>
    <w:rsid w:val="00ED2753"/>
    <w:rsid w:val="00EF1ABD"/>
    <w:rsid w:val="00F07365"/>
    <w:rsid w:val="00F209FC"/>
    <w:rsid w:val="00F20ACF"/>
    <w:rsid w:val="00F25F6A"/>
    <w:rsid w:val="00F62A2C"/>
    <w:rsid w:val="00F725C3"/>
    <w:rsid w:val="00F75150"/>
    <w:rsid w:val="00F82F6A"/>
    <w:rsid w:val="00FB3FA9"/>
    <w:rsid w:val="00FC1E85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  <w:ind w:left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D2753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753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753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D2753"/>
    <w:rPr>
      <w:rFonts w:asciiTheme="majorHAnsi" w:eastAsiaTheme="majorEastAsia" w:hAnsiTheme="majorHAnsi" w:cstheme="majorBidi"/>
      <w:b/>
      <w:color w:val="404040" w:themeColor="text1" w:themeTint="BF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753"/>
    <w:rPr>
      <w:rFonts w:asciiTheme="majorHAnsi" w:eastAsiaTheme="majorEastAsia" w:hAnsiTheme="majorHAnsi" w:cstheme="majorBidi"/>
      <w:b/>
      <w:color w:val="455F51" w:themeColor="text2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753"/>
    <w:rPr>
      <w:rFonts w:asciiTheme="majorHAnsi" w:eastAsiaTheme="majorEastAsia" w:hAnsiTheme="majorHAnsi" w:cstheme="majorBidi"/>
      <w:sz w:val="22"/>
      <w:szCs w:val="22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282B41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41"/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  <w:ind w:left="284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semiHidden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651C5"/>
    <w:rPr>
      <w:color w:val="605E5C"/>
      <w:shd w:val="clear" w:color="auto" w:fill="E1DFDD"/>
    </w:rPr>
  </w:style>
  <w:style w:type="table" w:styleId="Tablaconcuadrcula5oscura-nfasis1">
    <w:name w:val="Grid Table 5 Dark Accent 1"/>
    <w:basedOn w:val="Tablanormal"/>
    <w:uiPriority w:val="50"/>
    <w:rsid w:val="007D7E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F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E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E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E39" w:themeFill="accent1"/>
      </w:tcPr>
    </w:tblStylePr>
    <w:tblStylePr w:type="band1Vert">
      <w:tblPr/>
      <w:tcPr>
        <w:shd w:val="clear" w:color="auto" w:fill="B7DFA8" w:themeFill="accent1" w:themeFillTint="66"/>
      </w:tcPr>
    </w:tblStylePr>
    <w:tblStylePr w:type="band1Horz">
      <w:tblPr/>
      <w:tcPr>
        <w:shd w:val="clear" w:color="auto" w:fill="B7DFA8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495</Words>
  <Characters>2724</Characters>
  <Application>Microsoft Office Word</Application>
  <DocSecurity>0</DocSecurity>
  <Lines>22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17</cp:revision>
  <dcterms:created xsi:type="dcterms:W3CDTF">2025-10-16T10:28:00Z</dcterms:created>
  <dcterms:modified xsi:type="dcterms:W3CDTF">2025-11-01T02:25:00Z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