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440F485" w14:textId="5BC4CEFF" w:rsidR="00BB3C82" w:rsidRDefault="00C43D00" w:rsidP="00B06672">
      <w:pPr>
        <w:pStyle w:val="Title"/>
        <w:jc w:val="both"/>
      </w:pPr>
      <w:r>
        <w:t xml:space="preserve">Tema 2: </w:t>
      </w:r>
    </w:p>
    <w:p w14:paraId="4A8FD215" w14:textId="77777777" w:rsidR="006F0629" w:rsidRPr="006F0629" w:rsidRDefault="006F0629" w:rsidP="00B06672">
      <w:pPr>
        <w:jc w:val="both"/>
      </w:pPr>
    </w:p>
    <w:p w14:paraId="75B95AD3" w14:textId="3BE43098" w:rsidR="006F0629" w:rsidRPr="006F0629" w:rsidRDefault="006F0629" w:rsidP="00B06672">
      <w:pPr>
        <w:jc w:val="both"/>
        <w:rPr>
          <w:b/>
          <w:bCs/>
          <w:lang w:val="es-ES"/>
        </w:rPr>
      </w:pPr>
      <w:r w:rsidRPr="006F0629">
        <w:rPr>
          <w:b/>
          <w:bCs/>
          <w:lang w:val="es-ES"/>
        </w:rPr>
        <w:t>1.- Introducción a las Tecnologías habilitadoras digitales (THD).</w:t>
      </w:r>
    </w:p>
    <w:p w14:paraId="7F5BD3B8" w14:textId="289EF8BE" w:rsidR="006F0629" w:rsidRPr="006F0629" w:rsidRDefault="006F0629" w:rsidP="00B06672">
      <w:pPr>
        <w:jc w:val="both"/>
        <w:rPr>
          <w:lang w:val="es-ES"/>
        </w:rPr>
      </w:pPr>
      <w:r w:rsidRPr="006F0629">
        <w:rPr>
          <w:lang w:val="es-ES"/>
        </w:rPr>
        <w:t xml:space="preserve">Al adentrarnos en el estudio de las </w:t>
      </w:r>
      <w:r w:rsidRPr="006F0629">
        <w:rPr>
          <w:b/>
          <w:bCs/>
          <w:lang w:val="es-ES"/>
        </w:rPr>
        <w:t>Tecnologías Habilitadoras Digitales (THD)</w:t>
      </w:r>
      <w:r w:rsidRPr="006F0629">
        <w:rPr>
          <w:lang w:val="es-ES"/>
        </w:rPr>
        <w:t>, nos encontramos en el umbral de comprender cómo la digitalización está remodelando el panorama empresarial global. Las THD no son meramente herramientas tecnológicas; son los cimientos sobre los cuales las empresas modernas están construyendo su futuro, permitiéndoles no solo adaptarse a los entornos digitales sino también liderar la transformación en sus respectivos sectores.</w:t>
      </w:r>
    </w:p>
    <w:p w14:paraId="00D6236C" w14:textId="77777777" w:rsidR="006F0629" w:rsidRPr="006F0629" w:rsidRDefault="006F0629" w:rsidP="00B06672">
      <w:pPr>
        <w:jc w:val="both"/>
        <w:rPr>
          <w:lang w:val="es-ES"/>
        </w:rPr>
      </w:pPr>
      <w:r w:rsidRPr="006F0629">
        <w:rPr>
          <w:lang w:val="es-ES"/>
        </w:rPr>
        <w:t xml:space="preserve">Las THD abarcan una amplia gama de tecnologías, cada una con el potencial de revolucionar aspectos específicos de la gestión empresarial. Desde la </w:t>
      </w:r>
      <w:r w:rsidRPr="006F0629">
        <w:rPr>
          <w:b/>
          <w:bCs/>
          <w:lang w:val="es-ES"/>
        </w:rPr>
        <w:t>inteligencia artificial (IA)</w:t>
      </w:r>
      <w:r w:rsidRPr="006F0629">
        <w:rPr>
          <w:lang w:val="es-ES"/>
        </w:rPr>
        <w:t xml:space="preserve"> que potencia la toma de decisiones basada en datos y personaliza la experiencia del cliente, hasta el </w:t>
      </w:r>
      <w:r w:rsidRPr="006F0629">
        <w:rPr>
          <w:b/>
          <w:bCs/>
          <w:lang w:val="es-ES"/>
        </w:rPr>
        <w:t>Internet de las Cosas (IoT)</w:t>
      </w:r>
      <w:r w:rsidRPr="006F0629">
        <w:rPr>
          <w:lang w:val="es-ES"/>
        </w:rPr>
        <w:t xml:space="preserve"> que transforma la cadena de suministro haciéndola más eficiente y transparente, estas tecnologías están en el corazón de la innovación empresarial. La </w:t>
      </w:r>
      <w:r w:rsidRPr="006F0629">
        <w:rPr>
          <w:b/>
          <w:bCs/>
          <w:lang w:val="es-ES"/>
        </w:rPr>
        <w:t>blockchain</w:t>
      </w:r>
      <w:r w:rsidRPr="006F0629">
        <w:rPr>
          <w:lang w:val="es-ES"/>
        </w:rPr>
        <w:t>, por otro lado, ofrece un nuevo paradigma para la seguridad y transparencia en las transacciones, mientras que el análisis de grandes volúmenes de datos (</w:t>
      </w:r>
      <w:r w:rsidRPr="006F0629">
        <w:rPr>
          <w:b/>
          <w:bCs/>
          <w:lang w:val="es-ES"/>
        </w:rPr>
        <w:t>Big Data</w:t>
      </w:r>
      <w:r w:rsidRPr="006F0629">
        <w:rPr>
          <w:lang w:val="es-ES"/>
        </w:rPr>
        <w:t>) permite a las empresas obtener insights accionables para impulsar el crecimiento y la competitividad.</w:t>
      </w:r>
    </w:p>
    <w:p w14:paraId="3219972A" w14:textId="77777777" w:rsidR="006F0629" w:rsidRDefault="006F0629" w:rsidP="00B06672">
      <w:pPr>
        <w:jc w:val="both"/>
        <w:rPr>
          <w:lang w:val="es-ES"/>
        </w:rPr>
      </w:pPr>
      <w:r w:rsidRPr="006F0629">
        <w:rPr>
          <w:lang w:val="es-ES"/>
        </w:rPr>
        <w:t>De este modo establecemos las bases para una exploración profunda de cada una de estas tecnologías, destacando no solo sus características únicas sino también cómo pueden ser aplicadas para transformar los negocios. Al entender las THD, los líderes empresariales y los profesionales pueden identificar oportunidades para innovar en sus productos y servicios, mejorar sus procesos operativos y, en última instancia, crear valor sostenible en un mercado cada vez más digitalizado. Este conocimiento es esencial para cualquier persona que aspire a contribuir significativamente a la estrategia de digitalización de su organización, preparándose para los desafíos y aprovechando las oportunidades que presenta la era digital.</w:t>
      </w:r>
    </w:p>
    <w:p w14:paraId="006591CC" w14:textId="77777777" w:rsidR="006F0629" w:rsidRPr="006F0629" w:rsidRDefault="006F0629" w:rsidP="00B06672">
      <w:pPr>
        <w:jc w:val="both"/>
        <w:rPr>
          <w:b/>
          <w:bCs/>
          <w:lang w:val="es-ES"/>
        </w:rPr>
      </w:pPr>
      <w:r w:rsidRPr="006F0629">
        <w:rPr>
          <w:b/>
          <w:bCs/>
          <w:lang w:val="es-ES"/>
        </w:rPr>
        <w:t>1.1.- Definición y panorama general.</w:t>
      </w:r>
    </w:p>
    <w:p w14:paraId="031D8805" w14:textId="77777777" w:rsidR="007D657C" w:rsidRPr="007D657C" w:rsidRDefault="007D657C" w:rsidP="00B06672">
      <w:pPr>
        <w:jc w:val="both"/>
        <w:rPr>
          <w:lang w:val="es-ES"/>
        </w:rPr>
      </w:pPr>
      <w:r w:rsidRPr="007D657C">
        <w:rPr>
          <w:lang w:val="es-ES"/>
        </w:rPr>
        <w:t xml:space="preserve">Las </w:t>
      </w:r>
      <w:r w:rsidRPr="007D657C">
        <w:rPr>
          <w:b/>
          <w:bCs/>
          <w:lang w:val="es-ES"/>
        </w:rPr>
        <w:t>Tecnologías Habilitadoras Digitales (THD)</w:t>
      </w:r>
      <w:r w:rsidRPr="007D657C">
        <w:rPr>
          <w:lang w:val="es-ES"/>
        </w:rPr>
        <w:t xml:space="preserve"> constituyen el conjunto de herramientas tecnológicas avanzadas que facilitan la transformación digital de las empresas y la sociedad. Estas tecnologías no solo posibilitan la innovación en productos y servicios sino que también redefinen la interacción entre las empresas y sus clientes, la gestión interna, y la operativa de mercado. Entre las THD más destacadas se encuentran la Inteligencia Artificial (IA), el Internet de las Cosas (IoT), el Big Data y Análisis de Datos, la Blockchain, la Realidad Aumentada (AR) y la Realidad Virtual (VR), y el Cloud Computing.</w:t>
      </w:r>
    </w:p>
    <w:p w14:paraId="0CCB51C8" w14:textId="4D21361C" w:rsidR="006F0629" w:rsidRDefault="007D657C" w:rsidP="00B06672">
      <w:pPr>
        <w:jc w:val="both"/>
        <w:rPr>
          <w:lang w:val="es-ES"/>
        </w:rPr>
      </w:pPr>
      <w:r w:rsidRPr="007D657C">
        <w:rPr>
          <w:lang w:val="es-ES"/>
        </w:rPr>
        <w:t>En la actualidad, nos encontramos en un punto de inflexión donde la digitalización no es una opción, sino una necesidad imperante para la supervivencia y el crecimiento empresarial. Las THD son las protagonistas de esta revolución, ofreciendo soluciones innovadoras que permiten a las empresas adaptarse a los cambios rápidos del mercado, mejorar su eficiencia operativa, y explorar nuevos modelos de negocio. La adopción de estas tecnologías está impulsando cambios significativos en diversos sectores, desde la manufactura y los servicios hasta la educación y la salud, promoviendo una economía más conectada, inteligente y sostenible.</w:t>
      </w:r>
    </w:p>
    <w:p w14:paraId="59A699FA" w14:textId="77777777" w:rsidR="007D657C" w:rsidRPr="007D657C" w:rsidRDefault="007D657C" w:rsidP="00B06672">
      <w:pPr>
        <w:jc w:val="both"/>
        <w:rPr>
          <w:lang w:val="es-ES"/>
        </w:rPr>
      </w:pPr>
      <w:r w:rsidRPr="007D657C">
        <w:rPr>
          <w:lang w:val="es-ES"/>
        </w:rPr>
        <w:lastRenderedPageBreak/>
        <w:t>El impacto de las THD se extiende más allá de la mejora de procesos y productos; estas tecnologías están habilitando una transformación profunda en la manera en que las empresas interactúan con su entorno. Por ejemplo, la IA y el análisis de datos están proporcionando detalles sin precedentes sobre el comportamiento de los consumidores, permitiendo una personalización más profunda de los servicios. El IoT está revolucionizando la cadena de suministro, haciendo posible un seguimiento y control en tiempo real de los productos. La blockchain promete transacciones más seguras y transparentes, redefiniendo la confianza en los ecosistemas digitales.</w:t>
      </w:r>
    </w:p>
    <w:p w14:paraId="676E03DA" w14:textId="77777777" w:rsidR="007D657C" w:rsidRPr="007D657C" w:rsidRDefault="007D657C" w:rsidP="00B06672">
      <w:pPr>
        <w:jc w:val="both"/>
        <w:rPr>
          <w:lang w:val="es-ES"/>
        </w:rPr>
      </w:pPr>
      <w:hyperlink r:id="rId10" w:tooltip="Ocultar" w:history="1">
        <w:r w:rsidRPr="007D657C">
          <w:rPr>
            <w:rStyle w:val="Hyperlink"/>
            <w:lang w:val="es-ES"/>
          </w:rPr>
          <w:t>Ocultar</w:t>
        </w:r>
      </w:hyperlink>
    </w:p>
    <w:p w14:paraId="0296C1F4" w14:textId="77777777" w:rsidR="007D657C" w:rsidRPr="007D657C" w:rsidRDefault="007D657C" w:rsidP="00B06672">
      <w:pPr>
        <w:jc w:val="both"/>
        <w:rPr>
          <w:lang w:val="es-ES"/>
        </w:rPr>
      </w:pPr>
      <w:r w:rsidRPr="007D657C">
        <w:rPr>
          <w:lang w:val="es-ES"/>
        </w:rPr>
        <w:t>La implementación de THD también presenta desafíos, incluyendo la necesidad de habilidades especializadas, la inversión en infraestructura tecnológica y la gestión de la seguridad de datos. Sin embargo, las oportunidades que ofrecen estas tecnologías superan ampliamente a los desafíos. Las empresas que logran integrar eficazmente las THD en su estrategia y operaciones no solo pueden esperar un aumento en su competitividad sino también la capacidad de liderar en la innovación y la sostenibilidad.</w:t>
      </w:r>
    </w:p>
    <w:p w14:paraId="586D8A70" w14:textId="223EE922" w:rsidR="007D657C" w:rsidRDefault="007D657C" w:rsidP="00B06672">
      <w:pPr>
        <w:jc w:val="both"/>
        <w:rPr>
          <w:lang w:val="es-ES"/>
        </w:rPr>
      </w:pPr>
      <w:r w:rsidRPr="007D657C">
        <w:rPr>
          <w:lang w:val="es-ES"/>
        </w:rPr>
        <w:drawing>
          <wp:inline distT="0" distB="0" distL="0" distR="0" wp14:anchorId="62828B80" wp14:editId="0D4723F7">
            <wp:extent cx="6400800" cy="2007870"/>
            <wp:effectExtent l="0" t="0" r="0" b="0"/>
            <wp:docPr id="155524029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5240296" name=""/>
                    <pic:cNvPicPr/>
                  </pic:nvPicPr>
                  <pic:blipFill>
                    <a:blip r:embed="rId11"/>
                    <a:stretch>
                      <a:fillRect/>
                    </a:stretch>
                  </pic:blipFill>
                  <pic:spPr>
                    <a:xfrm>
                      <a:off x="0" y="0"/>
                      <a:ext cx="6400800" cy="2007870"/>
                    </a:xfrm>
                    <a:prstGeom prst="rect">
                      <a:avLst/>
                    </a:prstGeom>
                  </pic:spPr>
                </pic:pic>
              </a:graphicData>
            </a:graphic>
          </wp:inline>
        </w:drawing>
      </w:r>
    </w:p>
    <w:p w14:paraId="41B85D23" w14:textId="77777777" w:rsidR="007D657C" w:rsidRPr="007D657C" w:rsidRDefault="007D657C" w:rsidP="00B06672">
      <w:pPr>
        <w:jc w:val="both"/>
        <w:rPr>
          <w:b/>
          <w:bCs/>
          <w:lang w:val="es-ES"/>
        </w:rPr>
      </w:pPr>
      <w:r w:rsidRPr="007D657C">
        <w:rPr>
          <w:b/>
          <w:bCs/>
          <w:lang w:val="es-ES"/>
        </w:rPr>
        <w:t>1.2.- Importancia de las THD en la transformación digital.</w:t>
      </w:r>
    </w:p>
    <w:p w14:paraId="6F41536B" w14:textId="4FB286F7" w:rsidR="007D657C" w:rsidRDefault="007D657C" w:rsidP="00B06672">
      <w:pPr>
        <w:jc w:val="both"/>
      </w:pPr>
      <w:r w:rsidRPr="007D657C">
        <w:t xml:space="preserve">La transformación digital no es simplemente un cambio hacia plataformas digitales, sino una reinvención fundamental de cómo las empresas operan y entregan valor a sus clientes. En este proceso de cambio profundo y constante, las </w:t>
      </w:r>
      <w:r w:rsidRPr="007D657C">
        <w:rPr>
          <w:b/>
          <w:bCs/>
        </w:rPr>
        <w:t>Tecnologías Habilitadoras Digitales (THD)</w:t>
      </w:r>
      <w:r w:rsidRPr="007D657C">
        <w:t xml:space="preserve"> juegan un papel crítico, actuando como catalizadores que permiten a las organizaciones no solo adaptarse a las nuevas realidades del mercado sino también liderar la creación de estas realidades.</w:t>
      </w:r>
    </w:p>
    <w:tbl>
      <w:tblPr>
        <w:tblStyle w:val="TableGrid"/>
        <w:tblW w:w="0" w:type="auto"/>
        <w:tblLook w:val="04A0" w:firstRow="1" w:lastRow="0" w:firstColumn="1" w:lastColumn="0" w:noHBand="0" w:noVBand="1"/>
      </w:tblPr>
      <w:tblGrid>
        <w:gridCol w:w="5035"/>
        <w:gridCol w:w="5035"/>
      </w:tblGrid>
      <w:tr w:rsidR="00CF1473" w14:paraId="483922DE" w14:textId="77777777" w:rsidTr="00CF1473">
        <w:tc>
          <w:tcPr>
            <w:tcW w:w="5035" w:type="dxa"/>
          </w:tcPr>
          <w:p w14:paraId="3EE4F91E" w14:textId="77777777" w:rsidR="00CF1473" w:rsidRPr="00CF1473" w:rsidRDefault="00CF1473" w:rsidP="00B06672">
            <w:pPr>
              <w:jc w:val="both"/>
              <w:rPr>
                <w:b/>
                <w:bCs/>
                <w:lang w:val="es-ES"/>
              </w:rPr>
            </w:pPr>
            <w:r w:rsidRPr="00CF1473">
              <w:rPr>
                <w:b/>
                <w:bCs/>
                <w:lang w:val="es-ES"/>
              </w:rPr>
              <w:t>Impulsores de la Innovación y la Competitividad</w:t>
            </w:r>
          </w:p>
          <w:p w14:paraId="078E2C21" w14:textId="77777777" w:rsidR="00CF1473" w:rsidRDefault="00CF1473" w:rsidP="00B06672">
            <w:pPr>
              <w:jc w:val="both"/>
              <w:rPr>
                <w:lang w:val="es-ES"/>
              </w:rPr>
            </w:pPr>
          </w:p>
        </w:tc>
        <w:tc>
          <w:tcPr>
            <w:tcW w:w="5035" w:type="dxa"/>
          </w:tcPr>
          <w:p w14:paraId="743FA210" w14:textId="53598E32" w:rsidR="00CF1473" w:rsidRDefault="00CF1473" w:rsidP="00B06672">
            <w:pPr>
              <w:jc w:val="both"/>
              <w:rPr>
                <w:lang w:val="es-ES"/>
              </w:rPr>
            </w:pPr>
            <w:r w:rsidRPr="00CF1473">
              <w:t xml:space="preserve">Las THD son el motor de la innovación en todos los sectores, permitiendo el desarrollo de nuevos productos, servicios y modelos de negocio que antes eran inconcebibles. Por ejemplo, la inteligencia artificial está transformando el servicio al cliente a través de </w:t>
            </w:r>
            <w:hyperlink r:id="rId12" w:anchor="tf0f63d5e-1af9-9341-2021-533d58422ad5" w:history="1">
              <w:r w:rsidRPr="00CF1473">
                <w:rPr>
                  <w:rStyle w:val="Hyperlink"/>
                  <w:b/>
                  <w:bCs/>
                </w:rPr>
                <w:t>chatbots</w:t>
              </w:r>
            </w:hyperlink>
            <w:r w:rsidRPr="00CF1473">
              <w:t xml:space="preserve"> inteligentes y personalización, mientras que el IoT está abriendo nuevas dimensiones en la gestión inteligente de activos. Estas tecnologías no solo mejoran la oferta de una empresa sino que también establecen nuevas normas de competitividad, </w:t>
            </w:r>
            <w:r w:rsidRPr="00CF1473">
              <w:lastRenderedPageBreak/>
              <w:t>obligando a las organizaciones a mantenerse a la vanguardia de la innovación tecnológica.</w:t>
            </w:r>
          </w:p>
        </w:tc>
      </w:tr>
      <w:tr w:rsidR="00CF1473" w14:paraId="46319095" w14:textId="77777777" w:rsidTr="00CF1473">
        <w:tc>
          <w:tcPr>
            <w:tcW w:w="5035" w:type="dxa"/>
          </w:tcPr>
          <w:p w14:paraId="31ABB81E" w14:textId="77777777" w:rsidR="00CF1473" w:rsidRPr="00CF1473" w:rsidRDefault="00CF1473" w:rsidP="00B06672">
            <w:pPr>
              <w:jc w:val="both"/>
              <w:rPr>
                <w:b/>
                <w:bCs/>
                <w:lang w:val="es-ES"/>
              </w:rPr>
            </w:pPr>
            <w:r w:rsidRPr="00CF1473">
              <w:rPr>
                <w:b/>
                <w:bCs/>
                <w:lang w:val="es-ES"/>
              </w:rPr>
              <w:lastRenderedPageBreak/>
              <w:t>Facilitadores de la Eficiencia operativa</w:t>
            </w:r>
          </w:p>
          <w:p w14:paraId="52FB7D95" w14:textId="77777777" w:rsidR="00CF1473" w:rsidRDefault="00CF1473" w:rsidP="00B06672">
            <w:pPr>
              <w:jc w:val="both"/>
              <w:rPr>
                <w:lang w:val="es-ES"/>
              </w:rPr>
            </w:pPr>
          </w:p>
        </w:tc>
        <w:tc>
          <w:tcPr>
            <w:tcW w:w="5035" w:type="dxa"/>
          </w:tcPr>
          <w:p w14:paraId="69B9DAEC" w14:textId="77777777" w:rsidR="00CF1473" w:rsidRPr="00CF1473" w:rsidRDefault="00CF1473" w:rsidP="00B06672">
            <w:pPr>
              <w:jc w:val="both"/>
              <w:rPr>
                <w:lang w:val="es-ES"/>
              </w:rPr>
            </w:pPr>
            <w:r w:rsidRPr="00CF1473">
              <w:rPr>
                <w:lang w:val="es-ES"/>
              </w:rPr>
              <w:t>Más allá de la innovación, las THD ofrecen oportunidades sin precedentes para mejorar la eficiencia operativa. La automatización de procesos mediante tecnologías digitales reduce errores, ahorra tiempo y disminuye costos operativos, lo que resulta en una operación más ágil y rentable. Además, el análisis de grandes volúmenes de datos permite a las empresas optimizar sus decisiones y estrategias basadas en insights precisos y en tiempo real.</w:t>
            </w:r>
          </w:p>
          <w:p w14:paraId="150D9C4A" w14:textId="77777777" w:rsidR="00CF1473" w:rsidRDefault="00CF1473" w:rsidP="00B06672">
            <w:pPr>
              <w:jc w:val="both"/>
              <w:rPr>
                <w:lang w:val="es-ES"/>
              </w:rPr>
            </w:pPr>
          </w:p>
        </w:tc>
      </w:tr>
      <w:tr w:rsidR="00CF1473" w14:paraId="39C61271" w14:textId="77777777" w:rsidTr="00CF1473">
        <w:tc>
          <w:tcPr>
            <w:tcW w:w="5035" w:type="dxa"/>
          </w:tcPr>
          <w:p w14:paraId="424E8B99" w14:textId="77777777" w:rsidR="00CF1473" w:rsidRPr="00CF1473" w:rsidRDefault="00CF1473" w:rsidP="00B06672">
            <w:pPr>
              <w:jc w:val="both"/>
              <w:rPr>
                <w:b/>
                <w:bCs/>
                <w:lang w:val="es-ES"/>
              </w:rPr>
            </w:pPr>
            <w:r w:rsidRPr="00CF1473">
              <w:rPr>
                <w:b/>
                <w:bCs/>
                <w:lang w:val="es-ES"/>
              </w:rPr>
              <w:t>Promotores de la sostenibilidad</w:t>
            </w:r>
          </w:p>
          <w:p w14:paraId="76848BD4" w14:textId="77777777" w:rsidR="00CF1473" w:rsidRDefault="00CF1473" w:rsidP="00B06672">
            <w:pPr>
              <w:jc w:val="both"/>
              <w:rPr>
                <w:lang w:val="es-ES"/>
              </w:rPr>
            </w:pPr>
          </w:p>
        </w:tc>
        <w:tc>
          <w:tcPr>
            <w:tcW w:w="5035" w:type="dxa"/>
          </w:tcPr>
          <w:p w14:paraId="5D4C352E" w14:textId="77777777" w:rsidR="00CF1473" w:rsidRPr="00CF1473" w:rsidRDefault="00CF1473" w:rsidP="00B06672">
            <w:pPr>
              <w:jc w:val="both"/>
              <w:rPr>
                <w:lang w:val="es-ES"/>
              </w:rPr>
            </w:pPr>
            <w:r w:rsidRPr="00CF1473">
              <w:rPr>
                <w:lang w:val="es-ES"/>
              </w:rPr>
              <w:t>En un mundo cada vez más consciente de la importancia de la sostenibilidad, las THD ofrecen caminos innovadores para abordar desafíos ambientales y sociales. Desde cadenas de suministro más eficientes y menos contaminantes hasta soluciones de energía inteligente que reducen el consumo, las tecnologías digitales están en el centro de las estrategias sostenibles de las empresas líderes.</w:t>
            </w:r>
          </w:p>
          <w:p w14:paraId="55F52CD7" w14:textId="77777777" w:rsidR="00CF1473" w:rsidRDefault="00CF1473" w:rsidP="00B06672">
            <w:pPr>
              <w:jc w:val="both"/>
              <w:rPr>
                <w:lang w:val="es-ES"/>
              </w:rPr>
            </w:pPr>
          </w:p>
        </w:tc>
      </w:tr>
      <w:tr w:rsidR="00CF1473" w14:paraId="4E495D91" w14:textId="77777777" w:rsidTr="00CF1473">
        <w:tc>
          <w:tcPr>
            <w:tcW w:w="5035" w:type="dxa"/>
          </w:tcPr>
          <w:p w14:paraId="1FE31513" w14:textId="77777777" w:rsidR="00CF1473" w:rsidRPr="00CF1473" w:rsidRDefault="00CF1473" w:rsidP="00B06672">
            <w:pPr>
              <w:jc w:val="both"/>
              <w:rPr>
                <w:b/>
                <w:bCs/>
                <w:lang w:val="es-ES"/>
              </w:rPr>
            </w:pPr>
            <w:r w:rsidRPr="00CF1473">
              <w:rPr>
                <w:b/>
                <w:bCs/>
                <w:lang w:val="es-ES"/>
              </w:rPr>
              <w:t>Arquitectos de la resiliencia empresarial</w:t>
            </w:r>
          </w:p>
          <w:p w14:paraId="7EBE46D3" w14:textId="77777777" w:rsidR="00CF1473" w:rsidRDefault="00CF1473" w:rsidP="00B06672">
            <w:pPr>
              <w:jc w:val="both"/>
              <w:rPr>
                <w:lang w:val="es-ES"/>
              </w:rPr>
            </w:pPr>
          </w:p>
        </w:tc>
        <w:tc>
          <w:tcPr>
            <w:tcW w:w="5035" w:type="dxa"/>
          </w:tcPr>
          <w:p w14:paraId="4CAD94B9" w14:textId="77777777" w:rsidR="00CF1473" w:rsidRPr="00CF1473" w:rsidRDefault="00CF1473" w:rsidP="00B06672">
            <w:pPr>
              <w:jc w:val="both"/>
              <w:rPr>
                <w:lang w:val="es-ES"/>
              </w:rPr>
            </w:pPr>
            <w:r w:rsidRPr="00CF1473">
              <w:rPr>
                <w:lang w:val="es-ES"/>
              </w:rPr>
              <w:t>La resiliencia empresarial se ha convertido en un aspecto crucial para la supervivencia y el éxito a largo plazo en el dinámico entorno de mercado actual. Las Tecnologías Habilitadoras Digitales juegan un papel vital en fortalecer esta resiliencia, dotando a las organizaciones de la capacidad para adaptarse rápidamente a cambios y desafíos inesperados. Mediante la implementación de soluciones digitales flexibles y escalables, las empresas pueden asegurar la continuidad de sus operaciones frente a diversos escenarios, desde fluctuaciones del mercado hasta cambios en la demanda del consumidor. Esta agilidad operativa, impulsada por las THD, permite a las empresas no solo sobrevivir en tiempos de incertidumbre sino también prosperar, al identificar y aprovechar nuevas oportunidades que surgen del cambio.</w:t>
            </w:r>
          </w:p>
          <w:p w14:paraId="64AFFB52" w14:textId="77777777" w:rsidR="00CF1473" w:rsidRDefault="00CF1473" w:rsidP="00B06672">
            <w:pPr>
              <w:jc w:val="both"/>
              <w:rPr>
                <w:lang w:val="es-ES"/>
              </w:rPr>
            </w:pPr>
          </w:p>
        </w:tc>
      </w:tr>
    </w:tbl>
    <w:p w14:paraId="3D1ECC15" w14:textId="77777777" w:rsidR="007D657C" w:rsidRPr="006F0629" w:rsidRDefault="007D657C" w:rsidP="00B06672">
      <w:pPr>
        <w:jc w:val="both"/>
        <w:rPr>
          <w:lang w:val="es-ES"/>
        </w:rPr>
      </w:pPr>
    </w:p>
    <w:p w14:paraId="774EA4F4" w14:textId="77777777" w:rsidR="006F0629" w:rsidRDefault="006F0629" w:rsidP="00B06672">
      <w:pPr>
        <w:jc w:val="both"/>
        <w:rPr>
          <w:lang w:val="es-ES"/>
        </w:rPr>
      </w:pPr>
    </w:p>
    <w:p w14:paraId="2F671AB7" w14:textId="68D24FE8" w:rsidR="005C49A3" w:rsidRDefault="005C49A3" w:rsidP="00B06672">
      <w:pPr>
        <w:jc w:val="both"/>
        <w:rPr>
          <w:lang w:val="es-ES"/>
        </w:rPr>
      </w:pPr>
      <w:r w:rsidRPr="005C49A3">
        <w:rPr>
          <w:lang w:val="es-ES"/>
        </w:rPr>
        <w:lastRenderedPageBreak/>
        <w:drawing>
          <wp:inline distT="0" distB="0" distL="0" distR="0" wp14:anchorId="67505C22" wp14:editId="0A997AFB">
            <wp:extent cx="6400800" cy="3637915"/>
            <wp:effectExtent l="0" t="0" r="0" b="635"/>
            <wp:docPr id="366375282"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6375282" name="Picture 1" descr="A screenshot of a computer&#10;&#10;AI-generated content may be incorrect."/>
                    <pic:cNvPicPr/>
                  </pic:nvPicPr>
                  <pic:blipFill>
                    <a:blip r:embed="rId13"/>
                    <a:stretch>
                      <a:fillRect/>
                    </a:stretch>
                  </pic:blipFill>
                  <pic:spPr>
                    <a:xfrm>
                      <a:off x="0" y="0"/>
                      <a:ext cx="6400800" cy="3637915"/>
                    </a:xfrm>
                    <a:prstGeom prst="rect">
                      <a:avLst/>
                    </a:prstGeom>
                  </pic:spPr>
                </pic:pic>
              </a:graphicData>
            </a:graphic>
          </wp:inline>
        </w:drawing>
      </w:r>
    </w:p>
    <w:p w14:paraId="711B6680" w14:textId="77777777" w:rsidR="005C49A3" w:rsidRPr="005C49A3" w:rsidRDefault="005C49A3" w:rsidP="00B06672">
      <w:pPr>
        <w:jc w:val="both"/>
        <w:rPr>
          <w:b/>
          <w:bCs/>
          <w:lang w:val="es-ES"/>
        </w:rPr>
      </w:pPr>
      <w:r w:rsidRPr="005C49A3">
        <w:rPr>
          <w:b/>
          <w:bCs/>
          <w:lang w:val="es-ES"/>
        </w:rPr>
        <w:t>2.- Principales Tecnologías habilitadoras digitales.</w:t>
      </w:r>
    </w:p>
    <w:p w14:paraId="0E7D4365" w14:textId="77777777" w:rsidR="005C49A3" w:rsidRPr="005C49A3" w:rsidRDefault="005C49A3" w:rsidP="00B06672">
      <w:pPr>
        <w:jc w:val="both"/>
        <w:rPr>
          <w:lang w:val="es-ES"/>
        </w:rPr>
      </w:pPr>
      <w:r w:rsidRPr="005C49A3">
        <w:rPr>
          <w:lang w:val="es-ES"/>
        </w:rPr>
        <w:t>Comprender cómo estas tecnologías pueden ser implementadas para innovar y transformar es esencial para cualquier profesional que aspire a liderar en la era digital. Las THD ofrecen un vasto potencial no solo para optimizar operaciones internas sino también para revolucionar la forma en que se crean y entregan productos y servicios, abriendo así nuevos mercados y oportunidades de crecimiento sostenible.</w:t>
      </w:r>
    </w:p>
    <w:p w14:paraId="768F2F1D" w14:textId="77777777" w:rsidR="005C49A3" w:rsidRPr="005C49A3" w:rsidRDefault="005C49A3" w:rsidP="00B06672">
      <w:pPr>
        <w:jc w:val="both"/>
        <w:rPr>
          <w:lang w:val="es-ES"/>
        </w:rPr>
      </w:pPr>
      <w:r w:rsidRPr="005C49A3">
        <w:rPr>
          <w:lang w:val="es-ES"/>
        </w:rPr>
        <w:t>Cada tecnología habilitadora digital, posee características únicas que pueden ser explotadas para resolver problemas específicos, mejorar la eficiencia y fomentar la innovación. Al profundizar en estas tecnologías, podremos identificar cuáles son las más adecuadas para abordar los desafíos y objetivos particulares de una empresa, cómo pueden ser integradas dentro de los procesos existentes y de qué manera contribuyen a la construcción de un negocio más resiliente, ágil y orientado al futuro.</w:t>
      </w:r>
    </w:p>
    <w:p w14:paraId="6E0F58EE" w14:textId="77777777" w:rsidR="005C49A3" w:rsidRPr="005C49A3" w:rsidRDefault="005C49A3" w:rsidP="00B06672">
      <w:pPr>
        <w:jc w:val="both"/>
        <w:rPr>
          <w:lang w:val="es-ES"/>
        </w:rPr>
      </w:pPr>
      <w:r w:rsidRPr="005C49A3">
        <w:rPr>
          <w:lang w:val="es-ES"/>
        </w:rPr>
        <w:t>La implementación efectiva de las THD no solo implica una inversión en tecnología sino también un compromiso con la adaptación cultural y organizativa. Este proceso requiere un entendimiento claro de las implicaciones de cada tecnología, incluyendo cómo pueden influir en la dinámica de trabajo, la interacción con el cliente y el modelo de negocio en su conjunto. De este modo, se espera que los profesionales desarrollen una visión más amplia de la transformación digital, equipándolos con el conocimiento y las herramientas necesarias para navegar y liderar en el complejo panorama tecnológico de hoy.</w:t>
      </w:r>
    </w:p>
    <w:p w14:paraId="1C76B243" w14:textId="77777777" w:rsidR="005C49A3" w:rsidRPr="005C49A3" w:rsidRDefault="005C49A3" w:rsidP="00B06672">
      <w:pPr>
        <w:jc w:val="both"/>
        <w:rPr>
          <w:b/>
          <w:bCs/>
          <w:lang w:val="es-ES"/>
        </w:rPr>
      </w:pPr>
      <w:r w:rsidRPr="005C49A3">
        <w:rPr>
          <w:b/>
          <w:bCs/>
          <w:lang w:val="es-ES"/>
        </w:rPr>
        <w:t>2.1.- Identificación y descripción.</w:t>
      </w:r>
    </w:p>
    <w:p w14:paraId="1E1EE534" w14:textId="6A3A49E0" w:rsidR="005C49A3" w:rsidRDefault="005C49A3" w:rsidP="00B06672">
      <w:pPr>
        <w:jc w:val="both"/>
      </w:pPr>
      <w:r w:rsidRPr="005C49A3">
        <w:t xml:space="preserve">La transformación digital se sustenta en una serie de tecnologías clave que habilitan nuevas formas de operar, innovar y competir en el mercado global. Estas </w:t>
      </w:r>
      <w:r w:rsidRPr="005C49A3">
        <w:rPr>
          <w:b/>
          <w:bCs/>
        </w:rPr>
        <w:t>Tecnologías Habilitadoras Digitales (THD)</w:t>
      </w:r>
      <w:r w:rsidRPr="005C49A3">
        <w:t xml:space="preserve"> son </w:t>
      </w:r>
      <w:r w:rsidRPr="005C49A3">
        <w:lastRenderedPageBreak/>
        <w:t>los pilares sobre los cuales se construyen los procesos de digitalización en las empresas, permitiendo desde la mejora de la eficiencia operativa hasta la creación de nuevos modelos de negocio.</w:t>
      </w:r>
    </w:p>
    <w:tbl>
      <w:tblPr>
        <w:tblStyle w:val="TableGrid"/>
        <w:tblW w:w="0" w:type="auto"/>
        <w:tblLook w:val="04A0" w:firstRow="1" w:lastRow="0" w:firstColumn="1" w:lastColumn="0" w:noHBand="0" w:noVBand="1"/>
      </w:tblPr>
      <w:tblGrid>
        <w:gridCol w:w="5035"/>
        <w:gridCol w:w="5035"/>
      </w:tblGrid>
      <w:tr w:rsidR="005C49A3" w14:paraId="083BBED1" w14:textId="77777777" w:rsidTr="005C49A3">
        <w:tc>
          <w:tcPr>
            <w:tcW w:w="5035" w:type="dxa"/>
          </w:tcPr>
          <w:p w14:paraId="7BE6B537" w14:textId="77777777" w:rsidR="005C49A3" w:rsidRPr="005C49A3" w:rsidRDefault="005C49A3" w:rsidP="00B06672">
            <w:pPr>
              <w:jc w:val="both"/>
              <w:rPr>
                <w:b/>
                <w:bCs/>
                <w:lang w:val="es-ES"/>
              </w:rPr>
            </w:pPr>
            <w:r w:rsidRPr="005C49A3">
              <w:rPr>
                <w:b/>
                <w:bCs/>
                <w:lang w:val="es-ES"/>
              </w:rPr>
              <w:t>Blockchain</w:t>
            </w:r>
          </w:p>
          <w:p w14:paraId="3C84E6C7" w14:textId="77777777" w:rsidR="005C49A3" w:rsidRDefault="005C49A3" w:rsidP="00B06672">
            <w:pPr>
              <w:jc w:val="both"/>
              <w:rPr>
                <w:lang w:val="es-ES"/>
              </w:rPr>
            </w:pPr>
          </w:p>
        </w:tc>
        <w:tc>
          <w:tcPr>
            <w:tcW w:w="5035" w:type="dxa"/>
          </w:tcPr>
          <w:p w14:paraId="641643C7" w14:textId="77777777" w:rsidR="005C49A3" w:rsidRPr="005C49A3" w:rsidRDefault="005C49A3" w:rsidP="00B06672">
            <w:pPr>
              <w:jc w:val="both"/>
              <w:rPr>
                <w:lang w:val="es-ES"/>
              </w:rPr>
            </w:pPr>
            <w:r w:rsidRPr="005C49A3">
              <w:rPr>
                <w:lang w:val="es-ES"/>
              </w:rPr>
              <w:t>La tecnología de blockchain se caracteriza por su capacidad para crear registros digitales inmutables y distribuidos. Esto la hace ideal para aplicaciones que requieren altos niveles de seguridad y transparencia, como transacciones financieras, seguimiento de la cadena de suministro y gestión de identidades. Su naturaleza descentralizada elimina la necesidad de intermediarios, permitiendo operaciones más eficientes y reduciendo los costos asociados.</w:t>
            </w:r>
          </w:p>
          <w:p w14:paraId="519625FA" w14:textId="77777777" w:rsidR="005C49A3" w:rsidRDefault="005C49A3" w:rsidP="00B06672">
            <w:pPr>
              <w:jc w:val="both"/>
              <w:rPr>
                <w:lang w:val="es-ES"/>
              </w:rPr>
            </w:pPr>
          </w:p>
        </w:tc>
      </w:tr>
      <w:tr w:rsidR="005C49A3" w14:paraId="3B9B2445" w14:textId="77777777" w:rsidTr="005C49A3">
        <w:tc>
          <w:tcPr>
            <w:tcW w:w="5035" w:type="dxa"/>
          </w:tcPr>
          <w:p w14:paraId="5D0460E0" w14:textId="77777777" w:rsidR="005C49A3" w:rsidRPr="005C49A3" w:rsidRDefault="005C49A3" w:rsidP="00B06672">
            <w:pPr>
              <w:jc w:val="both"/>
              <w:rPr>
                <w:b/>
                <w:bCs/>
                <w:lang w:val="es-ES"/>
              </w:rPr>
            </w:pPr>
            <w:r w:rsidRPr="005C49A3">
              <w:rPr>
                <w:b/>
                <w:bCs/>
                <w:lang w:val="es-ES"/>
              </w:rPr>
              <w:t>Internet de las Cosas (IoT)</w:t>
            </w:r>
          </w:p>
          <w:p w14:paraId="771406FA" w14:textId="77777777" w:rsidR="005C49A3" w:rsidRDefault="005C49A3" w:rsidP="00B06672">
            <w:pPr>
              <w:jc w:val="both"/>
              <w:rPr>
                <w:lang w:val="es-ES"/>
              </w:rPr>
            </w:pPr>
          </w:p>
        </w:tc>
        <w:tc>
          <w:tcPr>
            <w:tcW w:w="5035" w:type="dxa"/>
          </w:tcPr>
          <w:p w14:paraId="7C9DBC4D" w14:textId="77777777" w:rsidR="005C49A3" w:rsidRPr="005C49A3" w:rsidRDefault="005C49A3" w:rsidP="00B06672">
            <w:pPr>
              <w:jc w:val="both"/>
              <w:rPr>
                <w:lang w:val="es-ES"/>
              </w:rPr>
            </w:pPr>
            <w:r w:rsidRPr="005C49A3">
              <w:rPr>
                <w:lang w:val="es-ES"/>
              </w:rPr>
              <w:t>El IoT conecta dispositivos físicos a internet, permitiendo la recopilación y el análisis de datos en tiempo real. Esta tecnología transforma cómo interactuamos con nuestro entorno, mejorando desde la gestión de activos y la eficiencia energética hasta la personalización de productos y servicios. En el ámbito empresarial, el IoT ofrece oportunidades significativas para optimizar operaciones, mejorar la toma de decisiones y crear experiencias de cliente innovadoras.</w:t>
            </w:r>
          </w:p>
          <w:p w14:paraId="565CA7B8" w14:textId="77777777" w:rsidR="005C49A3" w:rsidRDefault="005C49A3" w:rsidP="00B06672">
            <w:pPr>
              <w:jc w:val="both"/>
              <w:rPr>
                <w:lang w:val="es-ES"/>
              </w:rPr>
            </w:pPr>
          </w:p>
        </w:tc>
      </w:tr>
      <w:tr w:rsidR="005C49A3" w14:paraId="0E070C16" w14:textId="77777777" w:rsidTr="005C49A3">
        <w:tc>
          <w:tcPr>
            <w:tcW w:w="5035" w:type="dxa"/>
          </w:tcPr>
          <w:p w14:paraId="6FC85424" w14:textId="77777777" w:rsidR="005C49A3" w:rsidRPr="005C49A3" w:rsidRDefault="005C49A3" w:rsidP="00B06672">
            <w:pPr>
              <w:jc w:val="both"/>
              <w:rPr>
                <w:b/>
                <w:bCs/>
                <w:lang w:val="es-ES"/>
              </w:rPr>
            </w:pPr>
            <w:r w:rsidRPr="005C49A3">
              <w:rPr>
                <w:b/>
                <w:bCs/>
                <w:lang w:val="es-ES"/>
              </w:rPr>
              <w:t>Inteligencia Artificial (IA) y Machine Learning (ML)</w:t>
            </w:r>
          </w:p>
          <w:p w14:paraId="49CB5085" w14:textId="77777777" w:rsidR="005C49A3" w:rsidRDefault="005C49A3" w:rsidP="00B06672">
            <w:pPr>
              <w:jc w:val="both"/>
              <w:rPr>
                <w:lang w:val="es-ES"/>
              </w:rPr>
            </w:pPr>
          </w:p>
        </w:tc>
        <w:tc>
          <w:tcPr>
            <w:tcW w:w="5035" w:type="dxa"/>
          </w:tcPr>
          <w:p w14:paraId="29850198" w14:textId="77777777" w:rsidR="005C49A3" w:rsidRPr="005C49A3" w:rsidRDefault="005C49A3" w:rsidP="00B06672">
            <w:pPr>
              <w:jc w:val="both"/>
              <w:rPr>
                <w:lang w:val="es-ES"/>
              </w:rPr>
            </w:pPr>
            <w:r w:rsidRPr="005C49A3">
              <w:rPr>
                <w:lang w:val="es-ES"/>
              </w:rPr>
              <w:t>La IA y el ML son tecnologías que permiten a las máquinas aprender de los datos y realizar tareas que típicamente requieren inteligencia humana, como el reconocimiento de patrones, la toma de decisiones y la interpretación del lenguaje natural. Su aplicación abarca desde la automatización de procesos y la personalización del servicio al cliente hasta el análisis predictivo y la toma de decisiones basada en datos.</w:t>
            </w:r>
          </w:p>
          <w:p w14:paraId="17DCD5E9" w14:textId="77777777" w:rsidR="005C49A3" w:rsidRDefault="005C49A3" w:rsidP="00B06672">
            <w:pPr>
              <w:jc w:val="both"/>
              <w:rPr>
                <w:lang w:val="es-ES"/>
              </w:rPr>
            </w:pPr>
          </w:p>
        </w:tc>
      </w:tr>
      <w:tr w:rsidR="005C49A3" w14:paraId="08BFA24A" w14:textId="77777777" w:rsidTr="005C49A3">
        <w:tc>
          <w:tcPr>
            <w:tcW w:w="5035" w:type="dxa"/>
          </w:tcPr>
          <w:p w14:paraId="553D7F03" w14:textId="77777777" w:rsidR="005C49A3" w:rsidRPr="005C49A3" w:rsidRDefault="005C49A3" w:rsidP="00B06672">
            <w:pPr>
              <w:jc w:val="both"/>
              <w:rPr>
                <w:b/>
                <w:bCs/>
                <w:lang w:val="es-ES"/>
              </w:rPr>
            </w:pPr>
            <w:r w:rsidRPr="005C49A3">
              <w:rPr>
                <w:b/>
                <w:bCs/>
                <w:lang w:val="es-ES"/>
              </w:rPr>
              <w:t>Big Data y Análisis de Datos</w:t>
            </w:r>
          </w:p>
          <w:p w14:paraId="3F67638F" w14:textId="77777777" w:rsidR="005C49A3" w:rsidRDefault="005C49A3" w:rsidP="00B06672">
            <w:pPr>
              <w:jc w:val="both"/>
              <w:rPr>
                <w:lang w:val="es-ES"/>
              </w:rPr>
            </w:pPr>
          </w:p>
        </w:tc>
        <w:tc>
          <w:tcPr>
            <w:tcW w:w="5035" w:type="dxa"/>
          </w:tcPr>
          <w:p w14:paraId="1942497B" w14:textId="77777777" w:rsidR="005C49A3" w:rsidRPr="005C49A3" w:rsidRDefault="005C49A3" w:rsidP="00B06672">
            <w:pPr>
              <w:jc w:val="both"/>
              <w:rPr>
                <w:lang w:val="es-ES"/>
              </w:rPr>
            </w:pPr>
            <w:r w:rsidRPr="005C49A3">
              <w:rPr>
                <w:lang w:val="es-ES"/>
              </w:rPr>
              <w:t>El Big Data se refiere al procesamiento y análisis de grandes volúmenes de datos complejos que no pueden ser gestionados por métodos tradicionales. Esta tecnología es fundamental para descubrir patrones, tendencias y correlaciones en los datos, proporcionando insights valiosos que pueden informar la estrategia de negocio, optimizar operaciones y predecir comportamientos futuros.</w:t>
            </w:r>
          </w:p>
          <w:p w14:paraId="7C634E4C" w14:textId="77777777" w:rsidR="005C49A3" w:rsidRDefault="005C49A3" w:rsidP="00B06672">
            <w:pPr>
              <w:jc w:val="both"/>
              <w:rPr>
                <w:lang w:val="es-ES"/>
              </w:rPr>
            </w:pPr>
          </w:p>
        </w:tc>
      </w:tr>
      <w:tr w:rsidR="005C49A3" w14:paraId="143266E3" w14:textId="77777777" w:rsidTr="005C49A3">
        <w:tc>
          <w:tcPr>
            <w:tcW w:w="5035" w:type="dxa"/>
          </w:tcPr>
          <w:p w14:paraId="4E54E7A2" w14:textId="77777777" w:rsidR="005C49A3" w:rsidRPr="005C49A3" w:rsidRDefault="005C49A3" w:rsidP="00B06672">
            <w:pPr>
              <w:jc w:val="both"/>
              <w:rPr>
                <w:b/>
                <w:bCs/>
                <w:lang w:val="es-ES"/>
              </w:rPr>
            </w:pPr>
            <w:r w:rsidRPr="005C49A3">
              <w:rPr>
                <w:b/>
                <w:bCs/>
                <w:lang w:val="es-ES"/>
              </w:rPr>
              <w:t>Cloud Computing</w:t>
            </w:r>
          </w:p>
          <w:p w14:paraId="3AC19AEB" w14:textId="77777777" w:rsidR="005C49A3" w:rsidRDefault="005C49A3" w:rsidP="00B06672">
            <w:pPr>
              <w:jc w:val="both"/>
              <w:rPr>
                <w:lang w:val="es-ES"/>
              </w:rPr>
            </w:pPr>
          </w:p>
        </w:tc>
        <w:tc>
          <w:tcPr>
            <w:tcW w:w="5035" w:type="dxa"/>
          </w:tcPr>
          <w:p w14:paraId="3C20B470" w14:textId="77777777" w:rsidR="005C49A3" w:rsidRPr="005C49A3" w:rsidRDefault="005C49A3" w:rsidP="00B06672">
            <w:pPr>
              <w:jc w:val="both"/>
              <w:rPr>
                <w:lang w:val="es-ES"/>
              </w:rPr>
            </w:pPr>
            <w:r w:rsidRPr="005C49A3">
              <w:rPr>
                <w:lang w:val="es-ES"/>
              </w:rPr>
              <w:t xml:space="preserve">El Cloud Computing ofrece recursos informáticos (como servidores, almacenamiento, bases de datos, redes, software) a través de internet, </w:t>
            </w:r>
            <w:r w:rsidRPr="005C49A3">
              <w:rPr>
                <w:lang w:val="es-ES"/>
              </w:rPr>
              <w:lastRenderedPageBreak/>
              <w:t>permitiendo a las empresas escalar y adaptar sus infraestructuras tecnológicas con flexibilidad y eficiencia. Esta tecnología facilita la innovación, la colaboración y el acceso remoto, reduciendo significativamente los costos de TI y acelerando el tiempo de comercialización.</w:t>
            </w:r>
          </w:p>
          <w:p w14:paraId="3060FF64" w14:textId="77777777" w:rsidR="005C49A3" w:rsidRDefault="005C49A3" w:rsidP="00B06672">
            <w:pPr>
              <w:jc w:val="both"/>
              <w:rPr>
                <w:lang w:val="es-ES"/>
              </w:rPr>
            </w:pPr>
          </w:p>
        </w:tc>
      </w:tr>
    </w:tbl>
    <w:p w14:paraId="4EBFBECE" w14:textId="77777777" w:rsidR="005C49A3" w:rsidRDefault="005C49A3" w:rsidP="00B06672">
      <w:pPr>
        <w:jc w:val="both"/>
        <w:rPr>
          <w:lang w:val="es-ES"/>
        </w:rPr>
      </w:pPr>
    </w:p>
    <w:p w14:paraId="10CD6F8C" w14:textId="77777777" w:rsidR="0059121B" w:rsidRPr="0059121B" w:rsidRDefault="0059121B" w:rsidP="00B06672">
      <w:pPr>
        <w:jc w:val="both"/>
        <w:rPr>
          <w:b/>
          <w:bCs/>
          <w:lang w:val="es-ES"/>
        </w:rPr>
      </w:pPr>
      <w:r w:rsidRPr="0059121B">
        <w:rPr>
          <w:b/>
          <w:bCs/>
          <w:lang w:val="es-ES"/>
        </w:rPr>
        <w:t>2.1.1.- Blockchain.</w:t>
      </w:r>
    </w:p>
    <w:p w14:paraId="0AB62383" w14:textId="165AD9AD" w:rsidR="0059121B" w:rsidRDefault="0059121B" w:rsidP="00B06672">
      <w:pPr>
        <w:jc w:val="both"/>
      </w:pPr>
      <w:r w:rsidRPr="0059121B">
        <w:rPr>
          <w:b/>
          <w:bCs/>
        </w:rPr>
        <w:t>Blockchain</w:t>
      </w:r>
      <w:r w:rsidRPr="0059121B">
        <w:t xml:space="preserve"> es una tecnología de registro distribuido revolucionaria que fundamenta la creación de un libro de contabilidad digital, caracterizado por su </w:t>
      </w:r>
      <w:r w:rsidRPr="0059121B">
        <w:rPr>
          <w:b/>
          <w:bCs/>
        </w:rPr>
        <w:t>inmutabilidad y alta seguridad</w:t>
      </w:r>
      <w:r w:rsidRPr="0059121B">
        <w:t xml:space="preserve">. Esta tecnología funciona a través de una </w:t>
      </w:r>
      <w:r w:rsidRPr="0059121B">
        <w:rPr>
          <w:b/>
          <w:bCs/>
        </w:rPr>
        <w:t>estructura descentralizada</w:t>
      </w:r>
      <w:r w:rsidRPr="0059121B">
        <w:t xml:space="preserve">, donde cada participante en la red tiene acceso a una copia del libro contable, lo que asegura una transparencia y seguridad sin precedentes en la realización de transacciones, eliminando la necesidad de intermediarios o autoridades centrales de confianza. Originada como la columna vertebral de la </w:t>
      </w:r>
      <w:hyperlink r:id="rId14" w:anchor="tfaa2d158-07a5-a2a7-5d03-5803dee32f6d" w:history="1">
        <w:r w:rsidRPr="0059121B">
          <w:rPr>
            <w:rStyle w:val="Hyperlink"/>
            <w:b/>
            <w:bCs/>
          </w:rPr>
          <w:t>criptomoneda</w:t>
        </w:r>
      </w:hyperlink>
      <w:r w:rsidRPr="0059121B">
        <w:rPr>
          <w:b/>
          <w:bCs/>
        </w:rPr>
        <w:t xml:space="preserve"> Bitcoin</w:t>
      </w:r>
      <w:r w:rsidRPr="0059121B">
        <w:t>, la aplicación y el potencial de blockchain han trascendido el ámbito financiero, encontrando aplicabilidad en una amplia gama de sectores como la cadena de suministro, el sector salud, el inmobiliario, la gestión de identidades, y más allá.</w:t>
      </w:r>
    </w:p>
    <w:p w14:paraId="46AEF119" w14:textId="77777777" w:rsidR="0059121B" w:rsidRPr="0059121B" w:rsidRDefault="0059121B" w:rsidP="00B06672">
      <w:pPr>
        <w:jc w:val="both"/>
        <w:rPr>
          <w:lang w:val="es-ES"/>
        </w:rPr>
      </w:pPr>
      <w:r w:rsidRPr="0059121B">
        <w:rPr>
          <w:lang w:val="es-ES"/>
        </w:rPr>
        <w:t>La expansión de blockchain más allá de las criptomonedas ha abierto nuevas vías para abordar problemas antiguos y complejos, ofreciendo soluciones innovadoras para la trazabilidad y autenticidad en la cadena de suministro, la gestión segura y eficiente de registros médicos, y la garantía de transparencia en las transacciones gubernamentales y corporativas. Además, las características inherentes de blockchain, como la inmutabilidad de los registros, aseguran que una vez que una transacción ha sido añadida al libro mayor, esta no puede ser alterada ni eliminada, lo que añade una capa adicional de seguridad y confianza en los datos gestionados a través de esta tecnología.</w:t>
      </w:r>
    </w:p>
    <w:p w14:paraId="40642552" w14:textId="77777777" w:rsidR="0059121B" w:rsidRPr="0059121B" w:rsidRDefault="0059121B" w:rsidP="00B06672">
      <w:pPr>
        <w:jc w:val="both"/>
        <w:rPr>
          <w:lang w:val="es-ES"/>
        </w:rPr>
      </w:pPr>
    </w:p>
    <w:p w14:paraId="1B3BCA80" w14:textId="5CF8A170" w:rsidR="0059121B" w:rsidRDefault="0059121B" w:rsidP="00B06672">
      <w:pPr>
        <w:jc w:val="both"/>
        <w:rPr>
          <w:lang w:val="es-ES"/>
        </w:rPr>
      </w:pPr>
      <w:r w:rsidRPr="0059121B">
        <w:rPr>
          <w:lang w:val="es-ES"/>
        </w:rPr>
        <w:t>Además, la capacidad de blockchain para facilitar los contratos inteligentes, que son acuerdos autoejecutables con los términos del contrato directamente escritos en líneas de código, ha abierto nuevas perspectivas en la automatización de procesos y en la ejecución de acuerdos legales sin la necesidad de intermediarios. Esta funcionalidad no solo reduce los costos y tiempos asociados con las transacciones convencionales sino que también proporciona una plataforma robusta para el desarrollo de aplicaciones descentralizadas (dApps) que pueden servir a una multitud de propósitos en diferentes industrias, desde la financiación y seguros hasta los juegos y el entretenimiento.</w:t>
      </w:r>
    </w:p>
    <w:p w14:paraId="4DC50A08" w14:textId="2B9E4951" w:rsidR="0059121B" w:rsidRDefault="0059121B" w:rsidP="00B06672">
      <w:pPr>
        <w:jc w:val="both"/>
      </w:pPr>
      <w:r w:rsidRPr="0059121B">
        <w:t>Blockchain representa una de las innovaciones tecnológicas más significativas de nuestro tiempo. Al garantizar la seguridad, transparencia y eficiencia de las transacciones, esta tecnología tiene el potencial de transformar industrias enteras, democratizando el acceso a la información y empoderando a usuarios y empresas por igual.</w:t>
      </w:r>
    </w:p>
    <w:p w14:paraId="4F2F2523" w14:textId="77777777" w:rsidR="0059121B" w:rsidRPr="0059121B" w:rsidRDefault="0059121B" w:rsidP="00B06672">
      <w:pPr>
        <w:jc w:val="both"/>
        <w:rPr>
          <w:lang w:val="es-ES"/>
        </w:rPr>
      </w:pPr>
      <w:r w:rsidRPr="0059121B">
        <w:rPr>
          <w:lang w:val="es-ES"/>
        </w:rPr>
        <w:t>Las criptomonedas representan una innovación financiera que ha capturado la atención del mundo por su capacidad de operar independientemente de las instituciones financieras tradicionales. Aquí hay algunos aspectos clave que debes conocer para entender mejor estas monedas digitales:</w:t>
      </w:r>
    </w:p>
    <w:p w14:paraId="5EB08655" w14:textId="77777777" w:rsidR="0059121B" w:rsidRPr="0059121B" w:rsidRDefault="0059121B" w:rsidP="00B06672">
      <w:pPr>
        <w:numPr>
          <w:ilvl w:val="0"/>
          <w:numId w:val="48"/>
        </w:numPr>
        <w:jc w:val="both"/>
        <w:rPr>
          <w:lang w:val="es-ES"/>
        </w:rPr>
      </w:pPr>
      <w:r w:rsidRPr="0059121B">
        <w:rPr>
          <w:b/>
          <w:bCs/>
          <w:lang w:val="es-ES"/>
        </w:rPr>
        <w:lastRenderedPageBreak/>
        <w:t>Principios de Funcionamiento</w:t>
      </w:r>
      <w:r w:rsidRPr="0059121B">
        <w:rPr>
          <w:lang w:val="es-ES"/>
        </w:rPr>
        <w:t>: Comprende cómo blockchain utiliza criptografía para asegurar la información y cómo las transacciones se agregan a 'bloques' que luego se 'encadenan' para formar un registro inalterable.</w:t>
      </w:r>
    </w:p>
    <w:p w14:paraId="351E43D2" w14:textId="77777777" w:rsidR="0059121B" w:rsidRPr="0059121B" w:rsidRDefault="0059121B" w:rsidP="00B06672">
      <w:pPr>
        <w:numPr>
          <w:ilvl w:val="0"/>
          <w:numId w:val="48"/>
        </w:numPr>
        <w:jc w:val="both"/>
        <w:rPr>
          <w:lang w:val="es-ES"/>
        </w:rPr>
      </w:pPr>
      <w:r w:rsidRPr="0059121B">
        <w:rPr>
          <w:b/>
          <w:bCs/>
          <w:lang w:val="es-ES"/>
        </w:rPr>
        <w:t>Aplicaciones de Blockchain</w:t>
      </w:r>
      <w:r w:rsidRPr="0059121B">
        <w:rPr>
          <w:lang w:val="es-ES"/>
        </w:rPr>
        <w:t>: Explora cómo diferentes industrias están implementando blockchain para resolver problemas específicos, desde mejorar la trazabilidad en la cadena de suministro hasta ofrecer soluciones de identidad digital.</w:t>
      </w:r>
    </w:p>
    <w:p w14:paraId="651C9A11" w14:textId="77777777" w:rsidR="0059121B" w:rsidRPr="0059121B" w:rsidRDefault="0059121B" w:rsidP="00B06672">
      <w:pPr>
        <w:numPr>
          <w:ilvl w:val="0"/>
          <w:numId w:val="48"/>
        </w:numPr>
        <w:jc w:val="both"/>
        <w:rPr>
          <w:lang w:val="es-ES"/>
        </w:rPr>
      </w:pPr>
      <w:r w:rsidRPr="0059121B">
        <w:rPr>
          <w:b/>
          <w:bCs/>
          <w:lang w:val="es-ES"/>
        </w:rPr>
        <w:t>Smart Contracts</w:t>
      </w:r>
      <w:r w:rsidRPr="0059121B">
        <w:rPr>
          <w:lang w:val="es-ES"/>
        </w:rPr>
        <w:t>: Entiende qué son los contratos inteligentes, programas que se ejecutan automáticamente cuando se cumplen condiciones preestablecidas, y cómo facilitan acuerdos confiables y automáticos.</w:t>
      </w:r>
    </w:p>
    <w:p w14:paraId="154F62A8" w14:textId="77777777" w:rsidR="0059121B" w:rsidRPr="0059121B" w:rsidRDefault="0059121B" w:rsidP="00B06672">
      <w:pPr>
        <w:numPr>
          <w:ilvl w:val="0"/>
          <w:numId w:val="48"/>
        </w:numPr>
        <w:jc w:val="both"/>
        <w:rPr>
          <w:lang w:val="es-ES"/>
        </w:rPr>
      </w:pPr>
      <w:r w:rsidRPr="0059121B">
        <w:rPr>
          <w:b/>
          <w:bCs/>
          <w:lang w:val="es-ES"/>
        </w:rPr>
        <w:t>Desafíos y Consideraciones Éticas</w:t>
      </w:r>
      <w:r w:rsidRPr="0059121B">
        <w:rPr>
          <w:lang w:val="es-ES"/>
        </w:rPr>
        <w:t>: Aunque blockchain ofrece numerosos beneficios, también enfrenta desafíos, incluyendo escalabilidad, consumo energético y cuestiones de privacidad. Es crucial analizar estos aspectos para una implementación responsable.</w:t>
      </w:r>
    </w:p>
    <w:p w14:paraId="218890C3" w14:textId="77777777" w:rsidR="0059121B" w:rsidRPr="0059121B" w:rsidRDefault="0059121B" w:rsidP="00B06672">
      <w:pPr>
        <w:jc w:val="both"/>
        <w:rPr>
          <w:lang w:val="es-ES"/>
        </w:rPr>
      </w:pPr>
      <w:r w:rsidRPr="0059121B">
        <w:rPr>
          <w:lang w:val="es-ES"/>
        </w:rPr>
        <w:t xml:space="preserve">Todos estos aspectos los puedes estudiar en este </w:t>
      </w:r>
      <w:hyperlink r:id="rId15" w:tgtFrame="_blank" w:tooltip="Enlace que lleva al video de Youtube de HOY SÍ vas a entender QUÉ es el BLOCKCHAIN - (Bitcoin, Cryptos, NFTs y más) del canal Dot CSV (se abre en una ventana nueva)" w:history="1">
        <w:r w:rsidRPr="0059121B">
          <w:rPr>
            <w:rStyle w:val="Hyperlink"/>
            <w:lang w:val="es-ES"/>
          </w:rPr>
          <w:t>vídeo</w:t>
        </w:r>
      </w:hyperlink>
    </w:p>
    <w:p w14:paraId="3A04E3CA" w14:textId="0D82B804" w:rsidR="0059121B" w:rsidRDefault="0059121B" w:rsidP="00B06672">
      <w:pPr>
        <w:jc w:val="both"/>
        <w:rPr>
          <w:lang w:val="es-ES"/>
        </w:rPr>
      </w:pPr>
      <w:r w:rsidRPr="0059121B">
        <w:rPr>
          <w:lang w:val="es-ES"/>
        </w:rPr>
        <w:drawing>
          <wp:inline distT="0" distB="0" distL="0" distR="0" wp14:anchorId="6ADA3988" wp14:editId="4D591CE4">
            <wp:extent cx="6400800" cy="2314575"/>
            <wp:effectExtent l="0" t="0" r="0" b="9525"/>
            <wp:docPr id="68707052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7070528" name=""/>
                    <pic:cNvPicPr/>
                  </pic:nvPicPr>
                  <pic:blipFill>
                    <a:blip r:embed="rId16"/>
                    <a:stretch>
                      <a:fillRect/>
                    </a:stretch>
                  </pic:blipFill>
                  <pic:spPr>
                    <a:xfrm>
                      <a:off x="0" y="0"/>
                      <a:ext cx="6400800" cy="2314575"/>
                    </a:xfrm>
                    <a:prstGeom prst="rect">
                      <a:avLst/>
                    </a:prstGeom>
                  </pic:spPr>
                </pic:pic>
              </a:graphicData>
            </a:graphic>
          </wp:inline>
        </w:drawing>
      </w:r>
    </w:p>
    <w:p w14:paraId="166B4A8A" w14:textId="77777777" w:rsidR="00B06672" w:rsidRPr="00B06672" w:rsidRDefault="00B06672" w:rsidP="00B06672">
      <w:pPr>
        <w:jc w:val="both"/>
        <w:rPr>
          <w:b/>
          <w:bCs/>
          <w:lang w:val="es-ES"/>
        </w:rPr>
      </w:pPr>
      <w:r w:rsidRPr="00B06672">
        <w:rPr>
          <w:b/>
          <w:bCs/>
          <w:lang w:val="es-ES"/>
        </w:rPr>
        <w:t>2.1.2.- Internet de las Cosas (IoT).</w:t>
      </w:r>
    </w:p>
    <w:p w14:paraId="3742A220" w14:textId="77777777" w:rsidR="00B06672" w:rsidRPr="00B06672" w:rsidRDefault="00B06672" w:rsidP="00B06672">
      <w:pPr>
        <w:jc w:val="both"/>
        <w:rPr>
          <w:lang w:val="es-ES"/>
        </w:rPr>
      </w:pPr>
      <w:r w:rsidRPr="00B06672">
        <w:rPr>
          <w:lang w:val="es-ES"/>
        </w:rPr>
        <w:t xml:space="preserve">El </w:t>
      </w:r>
      <w:r w:rsidRPr="00B06672">
        <w:rPr>
          <w:b/>
          <w:bCs/>
          <w:lang w:val="es-ES"/>
        </w:rPr>
        <w:t>Internet de las Cosas (IoT)</w:t>
      </w:r>
      <w:r w:rsidRPr="00B06672">
        <w:rPr>
          <w:lang w:val="es-ES"/>
        </w:rPr>
        <w:t xml:space="preserve"> representa una vasta y creciente red de dispositivos físicos interconectados que recopilan y comparten datos a través de internet, marcando una evolución significativa en la forma en que interactuamos con el mundo digital. Esta red no se limita a objetos de uso diario como electrodomésticos y vehículos; se extiende a sistemas de manufactura avanzados, infraestructuras urbanas, dispositivos médicos y más, integrando capacidades computacionales en estos objetos para hacerlos "inteligentes". Al hacerlo, el </w:t>
      </w:r>
      <w:r w:rsidRPr="00B06672">
        <w:rPr>
          <w:b/>
          <w:bCs/>
          <w:lang w:val="es-ES"/>
        </w:rPr>
        <w:t>IoT</w:t>
      </w:r>
      <w:r w:rsidRPr="00B06672">
        <w:rPr>
          <w:lang w:val="es-ES"/>
        </w:rPr>
        <w:t xml:space="preserve"> no solo transforma objetos inanimados en entidades capaces de comunicarse y tomar decisiones basadas en datos, sino que también facilita una sinergia más profunda entre el mundo físico y los sistemas computacionales.</w:t>
      </w:r>
    </w:p>
    <w:p w14:paraId="12527A5F" w14:textId="77777777" w:rsidR="00B06672" w:rsidRPr="00B06672" w:rsidRDefault="00B06672" w:rsidP="00B06672">
      <w:pPr>
        <w:jc w:val="both"/>
        <w:rPr>
          <w:lang w:val="es-ES"/>
        </w:rPr>
      </w:pPr>
      <w:r w:rsidRPr="00B06672">
        <w:rPr>
          <w:lang w:val="es-ES"/>
        </w:rPr>
        <w:t xml:space="preserve">Esta integración permite lograr una eficiencia operativa sin precedentes, donde los dispositivos pueden ajustarse automáticamente a las condiciones cambiantes, realizar mantenimientos predictivos y adaptarse a las preferencias de los usuarios sin intervención humana directa. Además, el análisis en tiempo real de los datos recopilados por estos dispositivos abre nuevas posibilidades para la optimización de procesos, la personalización de servicios y la toma de decisiones basada en insights profundos y actualizados. </w:t>
      </w:r>
      <w:r w:rsidRPr="00B06672">
        <w:rPr>
          <w:b/>
          <w:bCs/>
          <w:lang w:val="es-ES"/>
        </w:rPr>
        <w:t xml:space="preserve">Por </w:t>
      </w:r>
      <w:r w:rsidRPr="00B06672">
        <w:rPr>
          <w:b/>
          <w:bCs/>
          <w:lang w:val="es-ES"/>
        </w:rPr>
        <w:lastRenderedPageBreak/>
        <w:t>ejemplo</w:t>
      </w:r>
      <w:r w:rsidRPr="00B06672">
        <w:rPr>
          <w:lang w:val="es-ES"/>
        </w:rPr>
        <w:t>, en el sector agrícola, sensores IoT pueden monitorear las condiciones del suelo y el clima, ajustando el riego y la fertilización para maximizar la eficiencia y la producción. En las ciudades inteligentes, el IoT puede mejorar la gestión del tráfico, la seguridad pública y la sostenibilidad a través de una red interconectada de sensores y actuadores.</w:t>
      </w:r>
    </w:p>
    <w:p w14:paraId="2C361A14" w14:textId="75320881" w:rsidR="00B06672" w:rsidRDefault="00B06672" w:rsidP="00B06672">
      <w:pPr>
        <w:jc w:val="both"/>
      </w:pPr>
      <w:r w:rsidRPr="00B06672">
        <w:t>Por lo tanto, el IoT emerge como un facilitador clave de la innovación y la transformación digital, ofreciendo no solo una mayor adaptabilidad a las necesidades de los usuarios sino también promoviendo un entorno más inteligente, conectado y eficiente. La expansión de esta tecnología está redefiniendo las expectativas y las posibilidades en prácticamente todos los sectores de la industria, prometiendo un futuro donde la interacción entre los seres humanos y la tecnología es más integrada, intuitiva y productiva.</w:t>
      </w:r>
    </w:p>
    <w:p w14:paraId="4445F022" w14:textId="3F65D634" w:rsidR="00B06672" w:rsidRDefault="00B06672" w:rsidP="00B06672">
      <w:pPr>
        <w:jc w:val="both"/>
      </w:pPr>
      <w:r w:rsidRPr="00B06672">
        <w:t>El IoT es la piedra angular de la cuarta revolución industrial, interconectando el mundo físico con el digital y abriendo un nuevo horizonte de posibilidades para la innovación y la optimización en casi todos los sectores de la industria.</w:t>
      </w:r>
    </w:p>
    <w:p w14:paraId="728B017F" w14:textId="77777777" w:rsidR="00B06672" w:rsidRPr="00B06672" w:rsidRDefault="00B06672" w:rsidP="00B06672">
      <w:pPr>
        <w:jc w:val="both"/>
        <w:rPr>
          <w:i/>
          <w:iCs/>
          <w:lang w:val="es-ES"/>
        </w:rPr>
      </w:pPr>
      <w:r w:rsidRPr="00B06672">
        <w:rPr>
          <w:i/>
          <w:iCs/>
          <w:lang w:val="es-ES"/>
        </w:rPr>
        <w:t>Para aquellos interesados en profundizar su comprensión sobre el Internet de las Cosas (IoT) y explorar su impacto transformador en nuestra sociedad y economía, se facilita una guía de recomendaciones que abarca desde los fundamentos técnicos hasta las aplicaciones más innovadoras y los retos que enfrenta esta tecnología.</w:t>
      </w:r>
    </w:p>
    <w:p w14:paraId="59C54B0A" w14:textId="77777777" w:rsidR="00B06672" w:rsidRPr="00B06672" w:rsidRDefault="00B06672" w:rsidP="00B06672">
      <w:pPr>
        <w:jc w:val="both"/>
        <w:rPr>
          <w:i/>
          <w:iCs/>
          <w:lang w:val="es-ES"/>
        </w:rPr>
      </w:pPr>
      <w:r w:rsidRPr="00B06672">
        <w:rPr>
          <w:b/>
          <w:bCs/>
          <w:i/>
          <w:iCs/>
          <w:lang w:val="es-ES"/>
        </w:rPr>
        <w:t>Arquitectura del IoT</w:t>
      </w:r>
      <w:r w:rsidRPr="00B06672">
        <w:rPr>
          <w:i/>
          <w:iCs/>
          <w:lang w:val="es-ES"/>
        </w:rPr>
        <w:t>: Una comprensión sólida de la arquitectura subyacente del IoT es esencial para apreciar cómo esta tecnología integra sensores, actuadores, dispositivos de comunicación y plataformas de análisis de datos para crear sistemas inteligentes. Se recomienda explorar recursos que detallen la estructura de los sistemas IoT, proporcionando ejemplos prácticos de cómo estos componentes se interconectan para recopilar, transmitir y procesar datos en una variedad de contextos.</w:t>
      </w:r>
    </w:p>
    <w:p w14:paraId="00DC99AD" w14:textId="77777777" w:rsidR="00B06672" w:rsidRPr="00B06672" w:rsidRDefault="00B06672" w:rsidP="00B06672">
      <w:pPr>
        <w:jc w:val="both"/>
        <w:rPr>
          <w:i/>
          <w:iCs/>
          <w:lang w:val="es-ES"/>
        </w:rPr>
      </w:pPr>
      <w:r w:rsidRPr="00B06672">
        <w:rPr>
          <w:b/>
          <w:bCs/>
          <w:i/>
          <w:iCs/>
          <w:lang w:val="es-ES"/>
        </w:rPr>
        <w:t>Aplicaciones del IoT</w:t>
      </w:r>
      <w:r w:rsidRPr="00B06672">
        <w:rPr>
          <w:i/>
          <w:iCs/>
          <w:lang w:val="es-ES"/>
        </w:rPr>
        <w:t>: El IoT tiene el potencial de revolucionar prácticamente todos los aspectos de la vida cotidiana y los negocios, desde la automatización del hogar y la agricultura de precisión hasta las ciudades inteligentes y la atención médica conectada. Busca estudios de caso y análisis que ilustren la aplicación práctica del IoT en diferentes sectores, destacando tanto los beneficios como los desafíos específicos de su implementación.</w:t>
      </w:r>
    </w:p>
    <w:p w14:paraId="2A002990" w14:textId="77777777" w:rsidR="00B06672" w:rsidRPr="00B06672" w:rsidRDefault="00B06672" w:rsidP="00B06672">
      <w:pPr>
        <w:jc w:val="both"/>
        <w:rPr>
          <w:i/>
          <w:iCs/>
          <w:lang w:val="es-ES"/>
        </w:rPr>
      </w:pPr>
      <w:r w:rsidRPr="00B06672">
        <w:rPr>
          <w:b/>
          <w:bCs/>
          <w:i/>
          <w:iCs/>
          <w:lang w:val="es-ES"/>
        </w:rPr>
        <w:t>Desafíos de Seguridad y Privacidad</w:t>
      </w:r>
      <w:r w:rsidRPr="00B06672">
        <w:rPr>
          <w:i/>
          <w:iCs/>
          <w:lang w:val="es-ES"/>
        </w:rPr>
        <w:t>: A medida que el IoT se integra más profundamente en nuestras vidas, la seguridad de los datos y la privacidad se convierten en preocupaciones críticas. Es crucial entender los riesgos asociados con una red cada vez más amplia de dispositivos conectados, así como las estrategias para mitigar estos riesgos. Investigar artículos, informes y guías sobre las mejores prácticas en seguridad IoT puede proporcionar una perspectiva valiosa sobre cómo proteger eficazmente los sistemas y datos.</w:t>
      </w:r>
    </w:p>
    <w:p w14:paraId="63473721" w14:textId="77777777" w:rsidR="00B06672" w:rsidRPr="00B06672" w:rsidRDefault="00B06672" w:rsidP="00B06672">
      <w:pPr>
        <w:jc w:val="both"/>
        <w:rPr>
          <w:i/>
          <w:iCs/>
          <w:lang w:val="es-ES"/>
        </w:rPr>
      </w:pPr>
      <w:r w:rsidRPr="00B06672">
        <w:rPr>
          <w:b/>
          <w:bCs/>
          <w:i/>
          <w:iCs/>
          <w:lang w:val="es-ES"/>
        </w:rPr>
        <w:t>Tendencias Futuras del IoT</w:t>
      </w:r>
      <w:r w:rsidRPr="00B06672">
        <w:rPr>
          <w:i/>
          <w:iCs/>
          <w:lang w:val="es-ES"/>
        </w:rPr>
        <w:t>: El campo del IoT está en constante evolución, con innovaciones que prometen expandir aún más su alcance y capacidad. Mantente al día con las últimas tendencias, como el desarrollo del Internet de las Cosas Industrial (IIoT), la integración de la inteligencia artificial para análisis predictivos y la combinación del IoT con blockchain para una mayor seguridad y transparencia. Seguir publicaciones especializadas, blogs de expertos en tecnología y participar en conferencias o webinars puede proporcionar insights actualizados sobre el futuro del IoT y sus implicaciones para diferentes industrias.</w:t>
      </w:r>
    </w:p>
    <w:p w14:paraId="7D903727" w14:textId="7EB60E38" w:rsidR="00B06672" w:rsidRDefault="00B06672" w:rsidP="00B06672">
      <w:pPr>
        <w:jc w:val="both"/>
        <w:rPr>
          <w:lang w:val="es-ES"/>
        </w:rPr>
      </w:pPr>
      <w:r w:rsidRPr="00B06672">
        <w:rPr>
          <w:lang w:val="es-ES"/>
        </w:rPr>
        <w:lastRenderedPageBreak/>
        <w:drawing>
          <wp:inline distT="0" distB="0" distL="0" distR="0" wp14:anchorId="294C736E" wp14:editId="18ED1828">
            <wp:extent cx="6400800" cy="2550160"/>
            <wp:effectExtent l="0" t="0" r="0" b="2540"/>
            <wp:docPr id="164311347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3113474" name=""/>
                    <pic:cNvPicPr/>
                  </pic:nvPicPr>
                  <pic:blipFill>
                    <a:blip r:embed="rId17"/>
                    <a:stretch>
                      <a:fillRect/>
                    </a:stretch>
                  </pic:blipFill>
                  <pic:spPr>
                    <a:xfrm>
                      <a:off x="0" y="0"/>
                      <a:ext cx="6400800" cy="2550160"/>
                    </a:xfrm>
                    <a:prstGeom prst="rect">
                      <a:avLst/>
                    </a:prstGeom>
                  </pic:spPr>
                </pic:pic>
              </a:graphicData>
            </a:graphic>
          </wp:inline>
        </w:drawing>
      </w:r>
    </w:p>
    <w:p w14:paraId="73424F67" w14:textId="77777777" w:rsidR="00B06672" w:rsidRPr="00B06672" w:rsidRDefault="00B06672" w:rsidP="00B06672">
      <w:pPr>
        <w:jc w:val="both"/>
        <w:rPr>
          <w:b/>
          <w:bCs/>
          <w:lang w:val="es-ES"/>
        </w:rPr>
      </w:pPr>
      <w:r w:rsidRPr="00B06672">
        <w:rPr>
          <w:b/>
          <w:bCs/>
          <w:lang w:val="es-ES"/>
        </w:rPr>
        <w:t>2.1.3.- Inteligencia Artificial (IA) y Machine Learning (ML).</w:t>
      </w:r>
    </w:p>
    <w:p w14:paraId="777A2EC4" w14:textId="77777777" w:rsidR="00B06672" w:rsidRPr="00B06672" w:rsidRDefault="00B06672" w:rsidP="00B06672">
      <w:pPr>
        <w:jc w:val="both"/>
        <w:rPr>
          <w:lang w:val="es-ES"/>
        </w:rPr>
      </w:pPr>
      <w:r w:rsidRPr="00B06672">
        <w:rPr>
          <w:lang w:val="es-ES"/>
        </w:rPr>
        <w:t xml:space="preserve">La </w:t>
      </w:r>
      <w:r w:rsidRPr="00B06672">
        <w:rPr>
          <w:b/>
          <w:bCs/>
          <w:lang w:val="es-ES"/>
        </w:rPr>
        <w:t>Inteligencia Artificial (IA)</w:t>
      </w:r>
      <w:r w:rsidRPr="00B06672">
        <w:rPr>
          <w:lang w:val="es-ES"/>
        </w:rPr>
        <w:t xml:space="preserve"> y el </w:t>
      </w:r>
      <w:r w:rsidRPr="00B06672">
        <w:rPr>
          <w:b/>
          <w:bCs/>
          <w:lang w:val="es-ES"/>
        </w:rPr>
        <w:t>Machine Learning (ML)</w:t>
      </w:r>
      <w:r w:rsidRPr="00B06672">
        <w:rPr>
          <w:lang w:val="es-ES"/>
        </w:rPr>
        <w:t xml:space="preserve"> constituyen el núcleo de la transformación digital, marcando el inicio de una nueva era en la que las máquinas no solo realizan tareas, sino que también aprenden, adaptan y toman decisiones de manera autónoma. La IA se refiere al amplio campo de estudio que permite a las máquinas simular aspectos de la inteligencia humana, como el razonamiento, el aprendizaje, la percepción y la comprensión del lenguaje. Esta tecnología ha evolucionado desde conceptos teóricos hasta aplicaciones prácticas que impactan casi todos los aspectos de la vida moderna, desde asistentes virtuales personales y sistemas de recomendación hasta vehículos autónomos y robots industriales.</w:t>
      </w:r>
    </w:p>
    <w:p w14:paraId="25610D9D" w14:textId="77777777" w:rsidR="00B06672" w:rsidRPr="00B06672" w:rsidRDefault="00B06672" w:rsidP="00B06672">
      <w:pPr>
        <w:jc w:val="both"/>
        <w:rPr>
          <w:lang w:val="es-ES"/>
        </w:rPr>
      </w:pPr>
      <w:r w:rsidRPr="00B06672">
        <w:rPr>
          <w:lang w:val="es-ES"/>
        </w:rPr>
        <w:t xml:space="preserve">El </w:t>
      </w:r>
      <w:r w:rsidRPr="00B06672">
        <w:rPr>
          <w:b/>
          <w:bCs/>
          <w:lang w:val="es-ES"/>
        </w:rPr>
        <w:t>Machine Learning</w:t>
      </w:r>
      <w:r w:rsidRPr="00B06672">
        <w:rPr>
          <w:lang w:val="es-ES"/>
        </w:rPr>
        <w:t>, una subdisciplina de la IA, se centra específicamente en el desarrollo de algoritmos que permiten a las computadoras aprender de los datos. A diferencia de la programación tradicional, donde se codifican las reglas específicas que deben seguir las máquinas, el ML utiliza grandes volúmenes de datos y algoritmos para que las máquinas mejoren su rendimiento en una tarea determinada con experiencia. Esta capacidad de aprendizaje automático es lo que permite a las aplicaciones de IA mejorar continuamente su precisión y eficiencia sin intervención humana directa. Por ejemplo, en el campo de la visión por computadora, el ML ha permitido el desarrollo de sistemas capaces de reconocer objetos y personas con un nivel de precisión que rivaliza con el de los humanos.</w:t>
      </w:r>
    </w:p>
    <w:p w14:paraId="37779FD0" w14:textId="77777777" w:rsidR="00B06672" w:rsidRPr="00B06672" w:rsidRDefault="00B06672" w:rsidP="00B06672">
      <w:pPr>
        <w:jc w:val="both"/>
        <w:rPr>
          <w:lang w:val="es-ES"/>
        </w:rPr>
      </w:pPr>
      <w:r w:rsidRPr="00B06672">
        <w:rPr>
          <w:lang w:val="es-ES"/>
        </w:rPr>
        <w:t xml:space="preserve">Además de sus aplicaciones en el procesamiento de imágenes, la IA y el ML están revolucionando otros campos como la medicina, donde se utilizan para predecir enfermedades basándose en historiales médicos y datos genéticos, y en el sector financiero, para detectar patrones de fraude y automatizar el trading en los mercados. En el ámbito de la atención al cliente, los </w:t>
      </w:r>
      <w:hyperlink r:id="rId18" w:anchor="t571acd53-1a5f-a6b2-b837-9832958f29a3" w:history="1">
        <w:r w:rsidRPr="00B06672">
          <w:rPr>
            <w:rStyle w:val="Hyperlink"/>
            <w:b/>
            <w:bCs/>
            <w:lang w:val="es-ES"/>
          </w:rPr>
          <w:t>chatbots</w:t>
        </w:r>
      </w:hyperlink>
      <w:r w:rsidRPr="00B06672">
        <w:rPr>
          <w:lang w:val="es-ES"/>
        </w:rPr>
        <w:t xml:space="preserve"> impulsados por IA mejoran la experiencia del usuario al proporcionar respuestas rápidas y personalizadas a sus consultas.</w:t>
      </w:r>
    </w:p>
    <w:p w14:paraId="033AC5B5" w14:textId="77777777" w:rsidR="00B06672" w:rsidRPr="00B06672" w:rsidRDefault="00B06672" w:rsidP="00B06672">
      <w:pPr>
        <w:jc w:val="both"/>
        <w:rPr>
          <w:lang w:val="es-ES"/>
        </w:rPr>
      </w:pPr>
      <w:r w:rsidRPr="00B06672">
        <w:rPr>
          <w:lang w:val="es-ES"/>
        </w:rPr>
        <w:t>Sin embargo, la IA y el ML también plantean desafíos importantes, especialmente en lo que respecta a la ética, la privacidad y la seguridad de los datos. El desarrollo responsable de estas tecnologías requiere un enfoque considerado que equilibre los beneficios potenciales con los riesgos asociados. Además, la creciente dependencia de los sistemas de IA y ML subraya la necesidad de abordar cuestiones como el sesgo algorítmico y asegurar que estas tecnologías sean accesibles y beneficiosas para todos.</w:t>
      </w:r>
    </w:p>
    <w:p w14:paraId="3EC44223" w14:textId="67BBED84" w:rsidR="00B06672" w:rsidRDefault="00B06672" w:rsidP="00B06672">
      <w:pPr>
        <w:jc w:val="both"/>
        <w:rPr>
          <w:i/>
          <w:iCs/>
        </w:rPr>
      </w:pPr>
      <w:r w:rsidRPr="00B06672">
        <w:rPr>
          <w:i/>
          <w:iCs/>
        </w:rPr>
        <w:lastRenderedPageBreak/>
        <w:t>La Inteligencia Artificial y el Machine Learning están en el corazón de la cuarta revolución industrial, ofreciendo capacidades sin precedentes para la innovación, desde el diagnóstico médico avanzado hasta sistemas autónomos de transporte y análisis predictivo en los negocios. Su integración en los procesos cotidianos está estableciendo nuevos estándares de eficiencia, personalización y descubrimiento.</w:t>
      </w:r>
    </w:p>
    <w:p w14:paraId="015CDD45" w14:textId="77777777" w:rsidR="003D304B" w:rsidRPr="003D304B" w:rsidRDefault="003D304B" w:rsidP="003D304B">
      <w:pPr>
        <w:rPr>
          <w:b/>
          <w:bCs/>
          <w:lang w:val="es-ES"/>
        </w:rPr>
      </w:pPr>
      <w:r w:rsidRPr="003D304B">
        <w:rPr>
          <w:b/>
          <w:bCs/>
          <w:lang w:val="es-ES"/>
        </w:rPr>
        <w:t>Para saber más</w:t>
      </w:r>
    </w:p>
    <w:p w14:paraId="631FE0E2" w14:textId="77777777" w:rsidR="003D304B" w:rsidRPr="003D304B" w:rsidRDefault="003D304B" w:rsidP="003D304B">
      <w:pPr>
        <w:rPr>
          <w:lang w:val="es-ES"/>
        </w:rPr>
      </w:pPr>
      <w:r w:rsidRPr="003D304B">
        <w:rPr>
          <w:lang w:val="es-ES"/>
        </w:rPr>
        <w:t>Aqui tienes una guía esencial que abarca los fundamentos, aplicaciones prácticas, desafíos éticos y tendencias futuras de estas tecnologías transformadoras. Al adentrarte en estos temas, no solo ampliarás tu conocimiento técnico, sino que también obtendrás una visión crítica sobre cómo la IA y el ML están modelando el futuro.</w:t>
      </w:r>
    </w:p>
    <w:p w14:paraId="59031B16" w14:textId="77777777" w:rsidR="003D304B" w:rsidRPr="003D304B" w:rsidRDefault="003D304B" w:rsidP="003D304B">
      <w:pPr>
        <w:rPr>
          <w:lang w:val="es-ES"/>
        </w:rPr>
      </w:pPr>
      <w:r w:rsidRPr="003D304B">
        <w:rPr>
          <w:b/>
          <w:bCs/>
          <w:lang w:val="es-ES"/>
        </w:rPr>
        <w:t>Aspectos Clave para Profundizar</w:t>
      </w:r>
      <w:r w:rsidRPr="003D304B">
        <w:rPr>
          <w:lang w:val="es-ES"/>
        </w:rPr>
        <w:t>:</w:t>
      </w:r>
    </w:p>
    <w:p w14:paraId="673304CA" w14:textId="77777777" w:rsidR="003D304B" w:rsidRPr="003D304B" w:rsidRDefault="003D304B" w:rsidP="003D304B">
      <w:pPr>
        <w:numPr>
          <w:ilvl w:val="0"/>
          <w:numId w:val="49"/>
        </w:numPr>
        <w:rPr>
          <w:lang w:val="es-ES"/>
        </w:rPr>
      </w:pPr>
      <w:r w:rsidRPr="003D304B">
        <w:rPr>
          <w:b/>
          <w:bCs/>
          <w:lang w:val="es-ES"/>
        </w:rPr>
        <w:t>Fundamentos y Algoritmos de ML</w:t>
      </w:r>
      <w:r w:rsidRPr="003D304B">
        <w:rPr>
          <w:lang w:val="es-ES"/>
        </w:rPr>
        <w:t>: Para quienes están empezando o buscan reforzar sus conocimientos, es crucial entender los principios básicos del ML, incluyendo los diferentes tipos de aprendizaje (supervisado, no supervisado, y por refuerzo) y los algoritmos fundamentales que hacen posible que las máquinas aprendan de los datos.</w:t>
      </w:r>
    </w:p>
    <w:p w14:paraId="2B4BA582" w14:textId="77777777" w:rsidR="003D304B" w:rsidRPr="003D304B" w:rsidRDefault="003D304B" w:rsidP="003D304B">
      <w:pPr>
        <w:numPr>
          <w:ilvl w:val="0"/>
          <w:numId w:val="49"/>
        </w:numPr>
        <w:rPr>
          <w:lang w:val="es-ES"/>
        </w:rPr>
      </w:pPr>
      <w:r w:rsidRPr="003D304B">
        <w:rPr>
          <w:b/>
          <w:bCs/>
          <w:lang w:val="es-ES"/>
        </w:rPr>
        <w:t>Aplicaciones Prácticas de la IA</w:t>
      </w:r>
      <w:r w:rsidRPr="003D304B">
        <w:rPr>
          <w:lang w:val="es-ES"/>
        </w:rPr>
        <w:t>: La IA se está aplicando en una diversidad de campos, transformando industrias enteras. Desde el desarrollo de diagnósticos médicos avanzados y sistemas de recomendación personalizados hasta la automatización de procesos industriales, conocer estas aplicaciones te permitirá apreciar el alcance real y el potencial de la IA.</w:t>
      </w:r>
    </w:p>
    <w:p w14:paraId="101923D4" w14:textId="77777777" w:rsidR="003D304B" w:rsidRPr="003D304B" w:rsidRDefault="003D304B" w:rsidP="003D304B">
      <w:pPr>
        <w:numPr>
          <w:ilvl w:val="0"/>
          <w:numId w:val="49"/>
        </w:numPr>
        <w:rPr>
          <w:lang w:val="es-ES"/>
        </w:rPr>
      </w:pPr>
      <w:r w:rsidRPr="003D304B">
        <w:rPr>
          <w:b/>
          <w:bCs/>
          <w:lang w:val="es-ES"/>
        </w:rPr>
        <w:t>Ética y Consideraciones Sociales</w:t>
      </w:r>
      <w:r w:rsidRPr="003D304B">
        <w:rPr>
          <w:lang w:val="es-ES"/>
        </w:rPr>
        <w:t>: La implementación de la IA plantea importantes preguntas éticas relacionadas con la privacidad, la seguridad de los datos y el impacto en el empleo. Profundizar en estos temas es fundamental para comprender los desafíos que acompañan al desarrollo tecnológico y cómo abordarlos de manera responsable.</w:t>
      </w:r>
    </w:p>
    <w:p w14:paraId="2F8026F3" w14:textId="77777777" w:rsidR="003D304B" w:rsidRPr="003D304B" w:rsidRDefault="003D304B" w:rsidP="003D304B">
      <w:pPr>
        <w:numPr>
          <w:ilvl w:val="0"/>
          <w:numId w:val="49"/>
        </w:numPr>
        <w:rPr>
          <w:lang w:val="es-ES"/>
        </w:rPr>
      </w:pPr>
      <w:r w:rsidRPr="003D304B">
        <w:rPr>
          <w:b/>
          <w:bCs/>
          <w:lang w:val="es-ES"/>
        </w:rPr>
        <w:t>Tendencias Futuras y Avances en IA/ML</w:t>
      </w:r>
      <w:r w:rsidRPr="003D304B">
        <w:rPr>
          <w:lang w:val="es-ES"/>
        </w:rPr>
        <w:t>: Mantenerse informado sobre los últimos avances y tendencias en IA y ML, como la IA generativa, el procesamiento del lenguaje natural (NLP) y los sistemas autónomos, te preparará para las innovaciones que están en el horizonte y cómo podrían impactar en diversos sectores.</w:t>
      </w:r>
    </w:p>
    <w:p w14:paraId="62631530" w14:textId="77777777" w:rsidR="003D304B" w:rsidRPr="003D304B" w:rsidRDefault="003D304B" w:rsidP="003D304B">
      <w:pPr>
        <w:rPr>
          <w:lang w:val="es-ES"/>
        </w:rPr>
      </w:pPr>
      <w:r w:rsidRPr="003D304B">
        <w:rPr>
          <w:lang w:val="es-ES"/>
        </w:rPr>
        <w:t>Todo ello lo podrás encontrar en el </w:t>
      </w:r>
      <w:hyperlink r:id="rId19" w:tgtFrame="_blank" w:tooltip="Enlace que lleva al canal de Youtube de Dot CSV (se abre en una ventana nueva)" w:history="1">
        <w:r w:rsidRPr="003D304B">
          <w:rPr>
            <w:rStyle w:val="Hyperlink"/>
            <w:lang w:val="es-ES"/>
          </w:rPr>
          <w:t>canal de YouTube Dot CSV</w:t>
        </w:r>
      </w:hyperlink>
      <w:r w:rsidRPr="003D304B">
        <w:rPr>
          <w:lang w:val="es-ES"/>
        </w:rPr>
        <w:t>. Este canal es una excelente fuente de información sobre IA y ML, presentando conceptos complejos de una manera accesible y entretenida. Aquí encontrarás desde tutoriales y explicaciones de conceptos básicos hasta análisis profundos de las últimas investigaciones y desarrollos en el campo. </w:t>
      </w:r>
    </w:p>
    <w:p w14:paraId="729DA0B3" w14:textId="7ADDF98F" w:rsidR="003D304B" w:rsidRDefault="003D304B" w:rsidP="003D304B">
      <w:pPr>
        <w:rPr>
          <w:lang w:val="es-ES"/>
        </w:rPr>
      </w:pPr>
      <w:r w:rsidRPr="003D304B">
        <w:rPr>
          <w:lang w:val="es-ES"/>
        </w:rPr>
        <w:lastRenderedPageBreak/>
        <w:drawing>
          <wp:inline distT="0" distB="0" distL="0" distR="0" wp14:anchorId="30BBDA89" wp14:editId="3BAFD5DF">
            <wp:extent cx="6400800" cy="2185035"/>
            <wp:effectExtent l="0" t="0" r="0" b="5715"/>
            <wp:docPr id="157554985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5549851" name=""/>
                    <pic:cNvPicPr/>
                  </pic:nvPicPr>
                  <pic:blipFill>
                    <a:blip r:embed="rId20"/>
                    <a:stretch>
                      <a:fillRect/>
                    </a:stretch>
                  </pic:blipFill>
                  <pic:spPr>
                    <a:xfrm>
                      <a:off x="0" y="0"/>
                      <a:ext cx="6400800" cy="2185035"/>
                    </a:xfrm>
                    <a:prstGeom prst="rect">
                      <a:avLst/>
                    </a:prstGeom>
                  </pic:spPr>
                </pic:pic>
              </a:graphicData>
            </a:graphic>
          </wp:inline>
        </w:drawing>
      </w:r>
    </w:p>
    <w:p w14:paraId="4E596A8B" w14:textId="77777777" w:rsidR="003D304B" w:rsidRPr="003D304B" w:rsidRDefault="003D304B" w:rsidP="003D304B">
      <w:pPr>
        <w:rPr>
          <w:b/>
          <w:bCs/>
          <w:lang w:val="es-ES"/>
        </w:rPr>
      </w:pPr>
      <w:r w:rsidRPr="003D304B">
        <w:rPr>
          <w:b/>
          <w:bCs/>
          <w:lang w:val="es-ES"/>
        </w:rPr>
        <w:t>2.1.4.- Big Data y Análisis de Datos.</w:t>
      </w:r>
    </w:p>
    <w:p w14:paraId="6EE82A72" w14:textId="58A40F85" w:rsidR="003D304B" w:rsidRDefault="003D304B" w:rsidP="003D304B">
      <w:r w:rsidRPr="003D304B">
        <w:t>En la era digital actual, marcada por una producción y acumulación de datos sin precedentes, el Big Data y el Análisis de Datos se han erigido como fundamentos cruciales para impulsar la toma de decisiones estratégicas y la creación de valor en las organizaciones de todos los sectores. El concepto de "Big Data" se refiere a enormes volúmenes de datos que sobrepasan la capacidad de las herramientas tradicionales de procesamiento de datos, tanto en complejidad como en tamaño. Estos datos se originan de una diversidad de fuentes, tales como interacciones en redes sociales, transacciones comerciales electrónicas, sensores integrados en dispositivos del Internet de las Cosas (IoT), registros digitales y mucho más, abarcando tanto datos estructurados como no estructurados. El Análisis de Datos, por otro lado, comprende un conjunto de técnicas y procesos diseñados para inspeccionar, limpiar y modelar estos vastos conjuntos de datos con el propósito de extraer información valiosa, derivar conclusiones significativas y respaldar decisiones basadas en evidencia.</w:t>
      </w:r>
    </w:p>
    <w:p w14:paraId="54C6C054" w14:textId="77777777" w:rsidR="003D304B" w:rsidRPr="003D304B" w:rsidRDefault="003D304B" w:rsidP="003D304B">
      <w:pPr>
        <w:rPr>
          <w:lang w:val="es-ES"/>
        </w:rPr>
      </w:pPr>
      <w:r w:rsidRPr="003D304B">
        <w:rPr>
          <w:lang w:val="es-ES"/>
        </w:rPr>
        <w:t>Este inmenso caudal de datos representa una oportunidad única para las organizaciones de obtener una comprensión profunda y detallada de sus operaciones internas, las dinámicas del mercado, y las preferencias y comportamientos de sus clientes. Sin embargo, liberar el potencial completo del Big Data requiere un conocimiento especializado sobre las tecnologías y metodologías adecuadas para su eficaz almacenamiento, procesamiento y análisis. Esto incluye desde sistemas de gestión de bases de datos distribuidas y plataformas de análisis en tiempo real, hasta la implementación de técnicas avanzadas de Machine Learning y herramientas de visualización de datos que facilitan la interpretación y la comunicación de los insights obtenidos. El campo del Big Data y Análisis de Datos es, por tanto, extenso y dinámico, caracterizado por una evolución constante y la emergencia de nuevas herramientas y enfoques que amplían sus aplicaciones y posibilidades.</w:t>
      </w:r>
    </w:p>
    <w:p w14:paraId="67CD45DB" w14:textId="77777777" w:rsidR="003D304B" w:rsidRPr="003D304B" w:rsidRDefault="003D304B" w:rsidP="003D304B">
      <w:pPr>
        <w:rPr>
          <w:lang w:val="es-ES"/>
        </w:rPr>
      </w:pPr>
      <w:r w:rsidRPr="003D304B">
        <w:rPr>
          <w:lang w:val="es-ES"/>
        </w:rPr>
        <w:t xml:space="preserve">Los fundamentos del Big Data se pueden entender a través de las </w:t>
      </w:r>
      <w:r w:rsidRPr="003D304B">
        <w:rPr>
          <w:b/>
          <w:bCs/>
          <w:lang w:val="es-ES"/>
        </w:rPr>
        <w:t>"5 Vs"</w:t>
      </w:r>
      <w:r w:rsidRPr="003D304B">
        <w:rPr>
          <w:lang w:val="es-ES"/>
        </w:rPr>
        <w:t>:</w:t>
      </w:r>
    </w:p>
    <w:p w14:paraId="48FDDF9D" w14:textId="77777777" w:rsidR="003D304B" w:rsidRPr="003D304B" w:rsidRDefault="003D304B" w:rsidP="003D304B">
      <w:pPr>
        <w:numPr>
          <w:ilvl w:val="0"/>
          <w:numId w:val="50"/>
        </w:numPr>
        <w:rPr>
          <w:lang w:val="es-ES"/>
        </w:rPr>
      </w:pPr>
      <w:r w:rsidRPr="003D304B">
        <w:rPr>
          <w:b/>
          <w:bCs/>
          <w:lang w:val="es-ES"/>
        </w:rPr>
        <w:t>Volumen</w:t>
      </w:r>
      <w:r w:rsidRPr="003D304B">
        <w:rPr>
          <w:lang w:val="es-ES"/>
        </w:rPr>
        <w:t>: La cantidad de datos generados es enorme. Desde mensajes en redes sociales hasta registros de transacciones en línea, cada acción digital contribuye al volumen masivo de datos.</w:t>
      </w:r>
    </w:p>
    <w:p w14:paraId="4E7869F1" w14:textId="77777777" w:rsidR="003D304B" w:rsidRPr="003D304B" w:rsidRDefault="003D304B" w:rsidP="003D304B">
      <w:pPr>
        <w:numPr>
          <w:ilvl w:val="0"/>
          <w:numId w:val="50"/>
        </w:numPr>
        <w:rPr>
          <w:lang w:val="es-ES"/>
        </w:rPr>
      </w:pPr>
      <w:r w:rsidRPr="003D304B">
        <w:rPr>
          <w:b/>
          <w:bCs/>
          <w:lang w:val="es-ES"/>
        </w:rPr>
        <w:t>Velocidad</w:t>
      </w:r>
      <w:r w:rsidRPr="003D304B">
        <w:rPr>
          <w:lang w:val="es-ES"/>
        </w:rPr>
        <w:t>: Los datos se generan a una velocidad impresionante. Cada segundo, nuevas informaciones son creadas a partir de múltiples fuentes.</w:t>
      </w:r>
    </w:p>
    <w:p w14:paraId="7C852F91" w14:textId="77777777" w:rsidR="003D304B" w:rsidRPr="003D304B" w:rsidRDefault="003D304B" w:rsidP="003D304B">
      <w:pPr>
        <w:numPr>
          <w:ilvl w:val="0"/>
          <w:numId w:val="50"/>
        </w:numPr>
        <w:rPr>
          <w:lang w:val="es-ES"/>
        </w:rPr>
      </w:pPr>
      <w:r w:rsidRPr="003D304B">
        <w:rPr>
          <w:b/>
          <w:bCs/>
          <w:lang w:val="es-ES"/>
        </w:rPr>
        <w:lastRenderedPageBreak/>
        <w:t>Variedad</w:t>
      </w:r>
      <w:r w:rsidRPr="003D304B">
        <w:rPr>
          <w:lang w:val="es-ES"/>
        </w:rPr>
        <w:t>: Los datos vienen en diferentes formatos: textos, imágenes, videos, registros de sensores, etc., lo que añade complejidad a su procesamiento.</w:t>
      </w:r>
    </w:p>
    <w:p w14:paraId="1C7ED8E5" w14:textId="77777777" w:rsidR="003D304B" w:rsidRPr="003D304B" w:rsidRDefault="003D304B" w:rsidP="003D304B">
      <w:pPr>
        <w:numPr>
          <w:ilvl w:val="0"/>
          <w:numId w:val="50"/>
        </w:numPr>
        <w:rPr>
          <w:lang w:val="es-ES"/>
        </w:rPr>
      </w:pPr>
      <w:r w:rsidRPr="003D304B">
        <w:rPr>
          <w:b/>
          <w:bCs/>
          <w:lang w:val="es-ES"/>
        </w:rPr>
        <w:t>Veracidad</w:t>
      </w:r>
      <w:r w:rsidRPr="003D304B">
        <w:rPr>
          <w:lang w:val="es-ES"/>
        </w:rPr>
        <w:t>: La calidad y precisión de los datos pueden variar, lo que plantea el desafío de verificar su fiabilidad antes de usarlos para tomar decisiones.</w:t>
      </w:r>
    </w:p>
    <w:p w14:paraId="49538F8D" w14:textId="77777777" w:rsidR="003D304B" w:rsidRPr="003D304B" w:rsidRDefault="003D304B" w:rsidP="003D304B">
      <w:pPr>
        <w:numPr>
          <w:ilvl w:val="0"/>
          <w:numId w:val="50"/>
        </w:numPr>
        <w:rPr>
          <w:lang w:val="es-ES"/>
        </w:rPr>
      </w:pPr>
      <w:r w:rsidRPr="003D304B">
        <w:rPr>
          <w:b/>
          <w:bCs/>
          <w:lang w:val="es-ES"/>
        </w:rPr>
        <w:t>Valor</w:t>
      </w:r>
      <w:r w:rsidRPr="003D304B">
        <w:rPr>
          <w:lang w:val="es-ES"/>
        </w:rPr>
        <w:t>: A pesar de la abrumadora cantidad de datos disponibles, el verdadero poder del Big Data reside en su capacidad para ser analizado y convertido en insights valiosos.</w:t>
      </w:r>
    </w:p>
    <w:p w14:paraId="331B393E" w14:textId="07B7079B" w:rsidR="003D304B" w:rsidRDefault="003D304B" w:rsidP="003D304B">
      <w:pPr>
        <w:rPr>
          <w:i/>
          <w:iCs/>
        </w:rPr>
      </w:pPr>
      <w:r w:rsidRPr="003D304B">
        <w:rPr>
          <w:i/>
          <w:iCs/>
        </w:rPr>
        <w:t>El Big Data y Análisis de Datos están redefiniendo el panorama competitivo en todas las industrias, ofreciendo insights que permiten a las organizaciones anticiparse a las tendencias del mercado, personalizar la experiencia del cliente y optimizar procesos como nunca antes. Estas herramientas no solo habilitan una mejor comprensión del presente sino que también proporcionan una ventana hacia el futuro, a través de la predicción y la simulación basadas en datos.</w:t>
      </w:r>
    </w:p>
    <w:p w14:paraId="261A6C70" w14:textId="77777777" w:rsidR="003D304B" w:rsidRPr="003D304B" w:rsidRDefault="003D304B" w:rsidP="003D304B">
      <w:pPr>
        <w:rPr>
          <w:lang w:val="es-ES"/>
        </w:rPr>
      </w:pPr>
      <w:r w:rsidRPr="003D304B">
        <w:rPr>
          <w:lang w:val="es-ES"/>
        </w:rPr>
        <w:t>Entender y dominar las herramientas y tecnologías clave es esencial para cualquier profesional que aspire a explorar y extraer valor del Big Data. Estas herramientas no solo permiten manejar grandes volúmenes de información de manera eficiente, sino que también facilitan la detección de patrones, tendencias y correlaciones, ofreciendo comprensiones profundas que pueden transformar la toma de decisiones en las organizaciones.</w:t>
      </w:r>
    </w:p>
    <w:p w14:paraId="5EBEDD07" w14:textId="77777777" w:rsidR="003D304B" w:rsidRPr="003D304B" w:rsidRDefault="003D304B" w:rsidP="003D304B">
      <w:pPr>
        <w:numPr>
          <w:ilvl w:val="0"/>
          <w:numId w:val="51"/>
        </w:numPr>
        <w:rPr>
          <w:lang w:val="es-ES"/>
        </w:rPr>
      </w:pPr>
      <w:hyperlink r:id="rId21" w:tgtFrame="_blank" w:tooltip="Enlace que lleva a la web oficial de  Apache Hadoop (se abre en una ventana nueva)" w:history="1">
        <w:r w:rsidRPr="003D304B">
          <w:rPr>
            <w:rStyle w:val="Hyperlink"/>
            <w:b/>
            <w:bCs/>
            <w:lang w:val="es-ES"/>
          </w:rPr>
          <w:t>Apache Hadoop</w:t>
        </w:r>
      </w:hyperlink>
      <w:r w:rsidRPr="003D304B">
        <w:rPr>
          <w:lang w:val="es-ES"/>
        </w:rPr>
        <w:t xml:space="preserve"> es una de las plataformas más reconocidas para el procesamiento de Big Data. Diseñada para escalar desde servidores individuales hasta miles de máquinas, cada una ofreciendo computación y almacenamiento local, Hadoop utiliza un modelo de programación basado en el procesamiento distribuido de datos, lo que permite analizar grandes conjuntos de datos de forma paralela y eficaz. Es particularmente útil para tareas que requieren el análisis de datos no estructurados o semi-estructurados, como logs de servidores, transcripciones de texto y más.</w:t>
      </w:r>
    </w:p>
    <w:p w14:paraId="5B32354D" w14:textId="77777777" w:rsidR="003D304B" w:rsidRPr="003D304B" w:rsidRDefault="003D304B" w:rsidP="003D304B">
      <w:pPr>
        <w:numPr>
          <w:ilvl w:val="0"/>
          <w:numId w:val="51"/>
        </w:numPr>
        <w:rPr>
          <w:lang w:val="es-ES"/>
        </w:rPr>
      </w:pPr>
      <w:hyperlink r:id="rId22" w:tgtFrame="_blank" w:tooltip="Enlace que lleva a la web oficial de  Apache Spark (se abre en una ventana nueva)" w:history="1">
        <w:r w:rsidRPr="003D304B">
          <w:rPr>
            <w:rStyle w:val="Hyperlink"/>
            <w:b/>
            <w:bCs/>
            <w:lang w:val="es-ES"/>
          </w:rPr>
          <w:t>Apache Spark</w:t>
        </w:r>
      </w:hyperlink>
      <w:r w:rsidRPr="003D304B">
        <w:rPr>
          <w:lang w:val="es-ES"/>
        </w:rPr>
        <w:t xml:space="preserve"> es otra herramienta poderosa, conocida por su capacidad para realizar procesamientos en memoria, lo que le permite ejecutar tareas de análisis de datos mucho más rápidamente que </w:t>
      </w:r>
      <w:r w:rsidRPr="003D304B">
        <w:rPr>
          <w:b/>
          <w:bCs/>
          <w:lang w:val="es-ES"/>
        </w:rPr>
        <w:t>Hadoop MapReduce</w:t>
      </w:r>
      <w:r w:rsidRPr="003D304B">
        <w:rPr>
          <w:lang w:val="es-ES"/>
        </w:rPr>
        <w:t xml:space="preserve">. Spark es versátil, soportando múltiples lenguajes de programación como </w:t>
      </w:r>
      <w:r w:rsidRPr="003D304B">
        <w:rPr>
          <w:b/>
          <w:bCs/>
          <w:lang w:val="es-ES"/>
        </w:rPr>
        <w:t>Scala, Python y R</w:t>
      </w:r>
      <w:r w:rsidRPr="003D304B">
        <w:rPr>
          <w:lang w:val="es-ES"/>
        </w:rPr>
        <w:t>, y viene equipado con bibliotecas integradas para SQL, machine learning, procesamiento de gráficos y procesamiento de flujos, lo que lo hace ideal para una amplia gama de aplicaciones, desde el análisis predictivo hasta el procesamiento en tiempo real.</w:t>
      </w:r>
    </w:p>
    <w:p w14:paraId="3033AA0F" w14:textId="77777777" w:rsidR="003D304B" w:rsidRPr="003D304B" w:rsidRDefault="003D304B" w:rsidP="003D304B">
      <w:pPr>
        <w:numPr>
          <w:ilvl w:val="0"/>
          <w:numId w:val="51"/>
        </w:numPr>
        <w:rPr>
          <w:lang w:val="es-ES"/>
        </w:rPr>
      </w:pPr>
      <w:r w:rsidRPr="003D304B">
        <w:rPr>
          <w:b/>
          <w:bCs/>
          <w:lang w:val="es-ES"/>
        </w:rPr>
        <w:t>Sistemas de bases de datos NoSQL</w:t>
      </w:r>
      <w:r w:rsidRPr="003D304B">
        <w:rPr>
          <w:lang w:val="es-ES"/>
        </w:rPr>
        <w:t xml:space="preserve">, como </w:t>
      </w:r>
      <w:hyperlink r:id="rId23" w:tgtFrame="_blank" w:tooltip="Enlace que lleva a la web oficial de  MongoDb (se abre en una ventana nueva)" w:history="1">
        <w:r w:rsidRPr="003D304B">
          <w:rPr>
            <w:rStyle w:val="Hyperlink"/>
            <w:b/>
            <w:bCs/>
            <w:lang w:val="es-ES"/>
          </w:rPr>
          <w:t>MongoDB</w:t>
        </w:r>
      </w:hyperlink>
      <w:r w:rsidRPr="003D304B">
        <w:rPr>
          <w:lang w:val="es-ES"/>
        </w:rPr>
        <w:t xml:space="preserve">, </w:t>
      </w:r>
      <w:r w:rsidRPr="003D304B">
        <w:rPr>
          <w:b/>
          <w:bCs/>
          <w:lang w:val="es-ES"/>
        </w:rPr>
        <w:t>Cassandra</w:t>
      </w:r>
      <w:r w:rsidRPr="003D304B">
        <w:rPr>
          <w:lang w:val="es-ES"/>
        </w:rPr>
        <w:t xml:space="preserve"> y </w:t>
      </w:r>
      <w:r w:rsidRPr="003D304B">
        <w:rPr>
          <w:b/>
          <w:bCs/>
          <w:lang w:val="es-ES"/>
        </w:rPr>
        <w:t>Couchbase</w:t>
      </w:r>
      <w:r w:rsidRPr="003D304B">
        <w:rPr>
          <w:lang w:val="es-ES"/>
        </w:rPr>
        <w:t>, ofrecen flexibilidad en el manejo y almacenamiento de datos no estructurados o semi-estructurados. A diferencia de las bases de datos relacionales tradicionales, las bases de datos NoSQL pueden escalar horizontalmente y son capaces de manejar una gran variedad de tipos de datos, lo que las hace adecuadas para aplicaciones web, móviles y de IoT, donde la estructura de los datos puede cambiar con el tiempo.</w:t>
      </w:r>
    </w:p>
    <w:p w14:paraId="490FC82E" w14:textId="77777777" w:rsidR="003D304B" w:rsidRPr="003D304B" w:rsidRDefault="003D304B" w:rsidP="003D304B">
      <w:pPr>
        <w:numPr>
          <w:ilvl w:val="0"/>
          <w:numId w:val="51"/>
        </w:numPr>
        <w:rPr>
          <w:lang w:val="es-ES"/>
        </w:rPr>
      </w:pPr>
      <w:r w:rsidRPr="003D304B">
        <w:rPr>
          <w:b/>
          <w:bCs/>
          <w:lang w:val="es-ES"/>
        </w:rPr>
        <w:t>Soluciones de análisis basadas en la nube</w:t>
      </w:r>
      <w:r w:rsidRPr="003D304B">
        <w:rPr>
          <w:lang w:val="es-ES"/>
        </w:rPr>
        <w:t xml:space="preserve"> como </w:t>
      </w:r>
      <w:r w:rsidRPr="003D304B">
        <w:rPr>
          <w:b/>
          <w:bCs/>
          <w:lang w:val="es-ES"/>
        </w:rPr>
        <w:t>Google BigQuery</w:t>
      </w:r>
      <w:r w:rsidRPr="003D304B">
        <w:rPr>
          <w:lang w:val="es-ES"/>
        </w:rPr>
        <w:t xml:space="preserve">, </w:t>
      </w:r>
      <w:r w:rsidRPr="003D304B">
        <w:rPr>
          <w:b/>
          <w:bCs/>
          <w:lang w:val="es-ES"/>
        </w:rPr>
        <w:t>Amazon Redshift</w:t>
      </w:r>
      <w:r w:rsidRPr="003D304B">
        <w:rPr>
          <w:lang w:val="es-ES"/>
        </w:rPr>
        <w:t xml:space="preserve"> y </w:t>
      </w:r>
      <w:r w:rsidRPr="003D304B">
        <w:rPr>
          <w:b/>
          <w:bCs/>
          <w:lang w:val="es-ES"/>
        </w:rPr>
        <w:t>Microsoft Azure Synapse Analytics</w:t>
      </w:r>
      <w:r w:rsidRPr="003D304B">
        <w:rPr>
          <w:lang w:val="es-ES"/>
        </w:rPr>
        <w:t xml:space="preserve"> proporcionan plataformas poderosas y escalables para el análisis de datos. Estos servicios gestionados eliminan la necesidad de una infraestructura física, </w:t>
      </w:r>
      <w:r w:rsidRPr="003D304B">
        <w:rPr>
          <w:lang w:val="es-ES"/>
        </w:rPr>
        <w:lastRenderedPageBreak/>
        <w:t>permitiendo a las organizaciones centrarse en el análisis y la interpretación de los datos sin preocuparse por el mantenimiento del hardware o la gestión de recursos. Estas plataformas ofrecen además, capacidades avanzadas de análisis y machine learning, integración de datos y seguridad, lo que permite a las empresas desbloquear datos valiosos con mayor rapidez y eficiencia.</w:t>
      </w:r>
    </w:p>
    <w:p w14:paraId="33EAD5F0" w14:textId="41808CBC" w:rsidR="003D304B" w:rsidRDefault="00547C13" w:rsidP="003D304B">
      <w:pPr>
        <w:rPr>
          <w:i/>
          <w:iCs/>
        </w:rPr>
      </w:pPr>
      <w:r w:rsidRPr="00547C13">
        <w:rPr>
          <w:i/>
          <w:iCs/>
        </w:rPr>
        <w:t>En la encrucijada de la innovación y la estrategia, el Big Data y el Análisis de Datos se revelan como la quintaesencia de la inteligencia competitiva en la era moderna. Al desentrañar los patrones ocultos dentro de vastos océanos de información, estas disciplinas ofrecen a las organizaciones una brújula para navegar por la complejidad del mercado global. Su aplicación trasciende la mera recopilación de datos, transformándolos en insights accionables que catalizan la toma de decisiones estratégicas, la personalización de la experiencia del cliente y la optimización de procesos. En este contexto, el Big Data y el Análisis de Datos no solo son herramientas de negocio; son el faro que guía hacia la innovación sostenible y el crecimiento en el siglo XXI.</w:t>
      </w:r>
    </w:p>
    <w:p w14:paraId="20BA99AA" w14:textId="77777777" w:rsidR="00547C13" w:rsidRDefault="00547C13" w:rsidP="00547C13">
      <w:pPr>
        <w:rPr>
          <w:i/>
          <w:iCs/>
        </w:rPr>
      </w:pPr>
    </w:p>
    <w:p w14:paraId="400ABE9B" w14:textId="257AFDD6" w:rsidR="00547C13" w:rsidRDefault="00547C13" w:rsidP="00547C13">
      <w:pPr>
        <w:rPr>
          <w:lang w:val="es-ES"/>
        </w:rPr>
      </w:pPr>
      <w:r w:rsidRPr="00547C13">
        <w:rPr>
          <w:lang w:val="es-ES"/>
        </w:rPr>
        <w:drawing>
          <wp:inline distT="0" distB="0" distL="0" distR="0" wp14:anchorId="7A68B2B6" wp14:editId="30D6ADA5">
            <wp:extent cx="6400800" cy="3060065"/>
            <wp:effectExtent l="0" t="0" r="0" b="6985"/>
            <wp:docPr id="65385243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3852437" name=""/>
                    <pic:cNvPicPr/>
                  </pic:nvPicPr>
                  <pic:blipFill>
                    <a:blip r:embed="rId24"/>
                    <a:stretch>
                      <a:fillRect/>
                    </a:stretch>
                  </pic:blipFill>
                  <pic:spPr>
                    <a:xfrm>
                      <a:off x="0" y="0"/>
                      <a:ext cx="6400800" cy="3060065"/>
                    </a:xfrm>
                    <a:prstGeom prst="rect">
                      <a:avLst/>
                    </a:prstGeom>
                  </pic:spPr>
                </pic:pic>
              </a:graphicData>
            </a:graphic>
          </wp:inline>
        </w:drawing>
      </w:r>
    </w:p>
    <w:p w14:paraId="7A4259FF" w14:textId="77777777" w:rsidR="00547C13" w:rsidRPr="00547C13" w:rsidRDefault="00547C13" w:rsidP="00547C13">
      <w:pPr>
        <w:rPr>
          <w:b/>
          <w:bCs/>
          <w:lang w:val="es-ES"/>
        </w:rPr>
      </w:pPr>
      <w:r w:rsidRPr="00547C13">
        <w:rPr>
          <w:b/>
          <w:bCs/>
          <w:lang w:val="es-ES"/>
        </w:rPr>
        <w:t>2.1.5.- Cloud Computing.</w:t>
      </w:r>
    </w:p>
    <w:p w14:paraId="74374FDA" w14:textId="77777777" w:rsidR="00547C13" w:rsidRPr="00547C13" w:rsidRDefault="00547C13" w:rsidP="00547C13">
      <w:pPr>
        <w:rPr>
          <w:lang w:val="es-ES"/>
        </w:rPr>
      </w:pPr>
      <w:r w:rsidRPr="00547C13">
        <w:rPr>
          <w:lang w:val="es-ES"/>
        </w:rPr>
        <w:t>El Cloud Computing, también conocido como computación en la nube, representa una de las transformaciones más significativas en la infraestructura tecnológica moderna. Esta innovación ha cambiado radicalmente el enfoque tradicional de las empresas hacia el acceso y la gestión de los recursos tecnológicos. Mediante este modelo de servicio, una amplia gama de recursos computacionales —incluyendo servidores, almacenamiento, bases de datos, redes y software— se brindan a través de Internet, conocido como "la nube". Esto permite a las organizaciones de todos los tamaños y sectores operar de manera más ágil, escalable y económica, adaptándose rápidamente a las cambiantes necesidades del mercado sin la carga financiera y operativa que conlleva el mantenimiento de una infraestructura de TI física.</w:t>
      </w:r>
    </w:p>
    <w:p w14:paraId="08FF5256" w14:textId="77777777" w:rsidR="00547C13" w:rsidRDefault="00547C13" w:rsidP="00547C13">
      <w:pPr>
        <w:rPr>
          <w:lang w:val="es-ES"/>
        </w:rPr>
      </w:pPr>
      <w:r w:rsidRPr="00547C13">
        <w:rPr>
          <w:lang w:val="es-ES"/>
        </w:rPr>
        <w:lastRenderedPageBreak/>
        <w:t>La adopción del Cloud Computing facilita a las empresas el acceso a capacidades computacionales avanzadas y a las últimas innovaciones tecnológicas con una inversión inicial mínima y un modelo de pago por uso. Esto no solo reduce significativamente los costos operativos y de capital, sino que también elimina la complejidad asociada con la actualización y el mantenimiento de sistemas y aplicaciones. Además, la computación en nube ofrece una flexibilidad y escalabilidad sin precedentes, permitiendo a las empresas expandir o reducir sus recursos tecnológicos instantáneamente según las demandas del negocio.</w:t>
      </w:r>
    </w:p>
    <w:p w14:paraId="674A3CAE" w14:textId="77777777" w:rsidR="00547C13" w:rsidRPr="00547C13" w:rsidRDefault="00547C13" w:rsidP="00547C13">
      <w:pPr>
        <w:rPr>
          <w:lang w:val="es-ES"/>
        </w:rPr>
      </w:pPr>
      <w:r w:rsidRPr="00547C13">
        <w:rPr>
          <w:lang w:val="es-ES"/>
        </w:rPr>
        <w:t>Más allá de la eficiencia operativa y la reducción de costos, el Cloud Computing abre nuevas posibilidades para la innovación empresarial. Facilita el desarrollo y despliegue rápido de aplicaciones, mejora la colaboración entre equipos dispersos geográficamente y permite la implementación de soluciones avanzadas de análisis de datos y aprendizaje automático. Asimismo, al proporcionar un acceso fácil y seguro a la información desde cualquier lugar y en cualquier momento, la computación en nube soporta estrategias de trabajo remoto y móvil, mejorando la productividad y satisfacción de los empleados.</w:t>
      </w:r>
    </w:p>
    <w:p w14:paraId="2606D992" w14:textId="77777777" w:rsidR="00547C13" w:rsidRPr="00547C13" w:rsidRDefault="00547C13" w:rsidP="00547C13">
      <w:pPr>
        <w:rPr>
          <w:lang w:val="es-ES"/>
        </w:rPr>
      </w:pPr>
      <w:r w:rsidRPr="00547C13">
        <w:rPr>
          <w:lang w:val="es-ES"/>
        </w:rPr>
        <w:t>Sin embargo, la migración hacia la nube y su gestión efectiva presentan desafíos que las empresas deben considerar, incluyendo la seguridad de los datos, la privacidad, la conformidad con regulaciones y la dependencia de proveedores de servicios en la nube. La selección cuidadosa de proveedores y la implementación de prácticas de seguridad robustas son fundamentales para aprovechar los beneficios de la computación en nube mientras se minimizan los riesgos potenciales.</w:t>
      </w:r>
    </w:p>
    <w:p w14:paraId="4C49DE4A" w14:textId="6CDBB60C" w:rsidR="00547C13" w:rsidRPr="00547C13" w:rsidRDefault="00547C13" w:rsidP="00547C13">
      <w:pPr>
        <w:rPr>
          <w:i/>
          <w:iCs/>
          <w:lang w:val="es-ES"/>
        </w:rPr>
      </w:pPr>
      <w:r w:rsidRPr="00547C13">
        <w:rPr>
          <w:i/>
          <w:iCs/>
        </w:rPr>
        <w:t>El Cloud Computing es un cambio de paradigma que ofrece a las organizaciones de todo tamaño acceso a tecnología de punta, democratizando el uso de recursos avanzados de TI y permitiendo a las empresas ser más ágiles, innovadoras y resilientes en un mercado global competitivo.</w:t>
      </w:r>
    </w:p>
    <w:p w14:paraId="6405F113" w14:textId="77777777" w:rsidR="00547C13" w:rsidRPr="00547C13" w:rsidRDefault="00547C13" w:rsidP="00547C13">
      <w:pPr>
        <w:rPr>
          <w:b/>
          <w:bCs/>
          <w:lang w:val="es-ES"/>
        </w:rPr>
      </w:pPr>
      <w:r w:rsidRPr="00547C13">
        <w:rPr>
          <w:b/>
          <w:bCs/>
          <w:lang w:val="es-ES"/>
        </w:rPr>
        <w:t>Debes conocer</w:t>
      </w:r>
    </w:p>
    <w:p w14:paraId="03697974" w14:textId="77777777" w:rsidR="00547C13" w:rsidRPr="00547C13" w:rsidRDefault="00547C13" w:rsidP="00547C13">
      <w:pPr>
        <w:rPr>
          <w:lang w:val="es-ES"/>
        </w:rPr>
      </w:pPr>
      <w:r w:rsidRPr="00547C13">
        <w:rPr>
          <w:lang w:val="es-ES"/>
        </w:rPr>
        <w:t xml:space="preserve">Para profundizar aún más en el concepto de Cloud Computing y clarificar cualquier duda que aún puedan tener sobre qué es exactamente la nube y cómo funciona, este </w:t>
      </w:r>
      <w:hyperlink r:id="rId25" w:tgtFrame="_blank" w:tooltip="Enlace que lleva al video de Youtube ¿Qué es la nube (cloud computing)? - La mejor explicación en español de EdTeam (se abre en una ventana nueva)" w:history="1">
        <w:r w:rsidRPr="00547C13">
          <w:rPr>
            <w:rStyle w:val="Hyperlink"/>
            <w:b/>
            <w:bCs/>
            <w:lang w:val="es-ES"/>
          </w:rPr>
          <w:t>video</w:t>
        </w:r>
      </w:hyperlink>
      <w:r w:rsidRPr="00547C13">
        <w:rPr>
          <w:lang w:val="es-ES"/>
        </w:rPr>
        <w:t xml:space="preserve"> es una herramienta invaluable. El contenido presentado en "¿Qué es la nube (cloud computing)?" ofrece una explicación clara y accesible que desglosa los principios fundamentales de la computación en nube, su funcionamiento, y los beneficios que ofrece a las organizaciones de todos los tamaños. </w:t>
      </w:r>
    </w:p>
    <w:p w14:paraId="4DBBEBB1" w14:textId="77777777" w:rsidR="00547C13" w:rsidRPr="00547C13" w:rsidRDefault="00547C13" w:rsidP="00547C13">
      <w:pPr>
        <w:rPr>
          <w:b/>
          <w:bCs/>
          <w:lang w:val="es-ES"/>
        </w:rPr>
      </w:pPr>
      <w:r w:rsidRPr="00547C13">
        <w:rPr>
          <w:b/>
          <w:bCs/>
          <w:lang w:val="es-ES"/>
        </w:rPr>
        <w:t>Para saber más</w:t>
      </w:r>
    </w:p>
    <w:p w14:paraId="6B992F03" w14:textId="77777777" w:rsidR="00547C13" w:rsidRPr="00547C13" w:rsidRDefault="00547C13" w:rsidP="00547C13">
      <w:pPr>
        <w:rPr>
          <w:lang w:val="es-ES"/>
        </w:rPr>
      </w:pPr>
      <w:r w:rsidRPr="00547C13">
        <w:rPr>
          <w:lang w:val="es-ES"/>
        </w:rPr>
        <w:t>El Cloud Computing, o computación en la nube, ha revolucionado la manera en que las empresas acceden y utilizan los recursos tecnológicos. Resulta de gran importancia conocer los aspectos básicos alrededor de esta tecnología, tales como:</w:t>
      </w:r>
    </w:p>
    <w:p w14:paraId="6EAD8910" w14:textId="77777777" w:rsidR="00547C13" w:rsidRPr="00547C13" w:rsidRDefault="00547C13" w:rsidP="00547C13">
      <w:pPr>
        <w:numPr>
          <w:ilvl w:val="0"/>
          <w:numId w:val="52"/>
        </w:numPr>
        <w:rPr>
          <w:lang w:val="es-ES"/>
        </w:rPr>
      </w:pPr>
      <w:r w:rsidRPr="00547C13">
        <w:rPr>
          <w:b/>
          <w:bCs/>
          <w:lang w:val="es-ES"/>
        </w:rPr>
        <w:t>Modelos de Servicio del Cloud Computing</w:t>
      </w:r>
      <w:r w:rsidRPr="00547C13">
        <w:rPr>
          <w:lang w:val="es-ES"/>
        </w:rPr>
        <w:t>: Es fundamental entender los diferentes modelos de servicio, incluyendo la Infraestructura como Servicio (</w:t>
      </w:r>
      <w:hyperlink r:id="rId26" w:anchor="t1a214ec5-4a2e-94f4-66ad-e3e372869394" w:history="1">
        <w:r w:rsidRPr="00547C13">
          <w:rPr>
            <w:rStyle w:val="Hyperlink"/>
            <w:b/>
            <w:bCs/>
            <w:lang w:val="es-ES"/>
          </w:rPr>
          <w:t>IaaS</w:t>
        </w:r>
      </w:hyperlink>
      <w:r w:rsidRPr="00547C13">
        <w:rPr>
          <w:lang w:val="es-ES"/>
        </w:rPr>
        <w:t>), la Plataforma como Servicio (</w:t>
      </w:r>
      <w:hyperlink r:id="rId27" w:anchor="tc34245e4-cfcb-e48d-7665-72eb6f0d0350" w:history="1">
        <w:r w:rsidRPr="00547C13">
          <w:rPr>
            <w:rStyle w:val="Hyperlink"/>
            <w:b/>
            <w:bCs/>
            <w:lang w:val="es-ES"/>
          </w:rPr>
          <w:t>PaaS</w:t>
        </w:r>
      </w:hyperlink>
      <w:r w:rsidRPr="00547C13">
        <w:rPr>
          <w:lang w:val="es-ES"/>
        </w:rPr>
        <w:t>) y el Software como Servicio (</w:t>
      </w:r>
      <w:hyperlink r:id="rId28" w:anchor="t95de800a-f4fd-0ac4-3b69-86e56badd503" w:history="1">
        <w:r w:rsidRPr="00547C13">
          <w:rPr>
            <w:rStyle w:val="Hyperlink"/>
            <w:b/>
            <w:bCs/>
            <w:lang w:val="es-ES"/>
          </w:rPr>
          <w:t>SaaS</w:t>
        </w:r>
      </w:hyperlink>
      <w:r w:rsidRPr="00547C13">
        <w:rPr>
          <w:lang w:val="es-ES"/>
        </w:rPr>
        <w:t>). Cada uno de estos modelos ofrece distintos niveles de control, flexibilidad y gestión, adecuándose a diversas necesidades empresariales.</w:t>
      </w:r>
    </w:p>
    <w:p w14:paraId="12701823" w14:textId="77777777" w:rsidR="00547C13" w:rsidRPr="00547C13" w:rsidRDefault="00547C13" w:rsidP="00547C13">
      <w:pPr>
        <w:numPr>
          <w:ilvl w:val="0"/>
          <w:numId w:val="52"/>
        </w:numPr>
        <w:rPr>
          <w:lang w:val="es-ES"/>
        </w:rPr>
      </w:pPr>
      <w:r w:rsidRPr="00547C13">
        <w:rPr>
          <w:b/>
          <w:bCs/>
          <w:lang w:val="es-ES"/>
        </w:rPr>
        <w:t>Beneficios del Cloud Computing</w:t>
      </w:r>
      <w:r w:rsidRPr="00547C13">
        <w:rPr>
          <w:lang w:val="es-ES"/>
        </w:rPr>
        <w:t xml:space="preserve">: Entre los principales beneficios se encuentran la escalabilidad, que permite a las empresas ajustar los recursos tecnológicos según sus </w:t>
      </w:r>
      <w:r w:rsidRPr="00547C13">
        <w:rPr>
          <w:lang w:val="es-ES"/>
        </w:rPr>
        <w:lastRenderedPageBreak/>
        <w:t>necesidades; la eficiencia de costos, reduciendo la necesidad de inversiones capitales en infraestructura; y la accesibilidad, permitiendo el acceso a los recursos desde cualquier lugar.</w:t>
      </w:r>
    </w:p>
    <w:p w14:paraId="715AAACA" w14:textId="77777777" w:rsidR="00547C13" w:rsidRPr="00547C13" w:rsidRDefault="00547C13" w:rsidP="00547C13">
      <w:pPr>
        <w:numPr>
          <w:ilvl w:val="0"/>
          <w:numId w:val="52"/>
        </w:numPr>
        <w:rPr>
          <w:lang w:val="es-ES"/>
        </w:rPr>
      </w:pPr>
      <w:r w:rsidRPr="00547C13">
        <w:rPr>
          <w:b/>
          <w:bCs/>
          <w:lang w:val="es-ES"/>
        </w:rPr>
        <w:t>Proveedores Líderes de Cloud Computing</w:t>
      </w:r>
      <w:r w:rsidRPr="00547C13">
        <w:rPr>
          <w:lang w:val="es-ES"/>
        </w:rPr>
        <w:t>: Familiarízate con los principales proveedores como Amazon Web Services (AWS), Microsoft Azure y Google Cloud Platform (GCP), cada uno ofreciendo un amplio rango de servicios y herramientas que facilitan desde el desarrollo de aplicaciones hasta el análisis de Big Data y la implementación de soluciones de inteligencia artificial.</w:t>
      </w:r>
    </w:p>
    <w:p w14:paraId="3E56EA70" w14:textId="77777777" w:rsidR="00547C13" w:rsidRPr="00547C13" w:rsidRDefault="00547C13" w:rsidP="00547C13">
      <w:pPr>
        <w:numPr>
          <w:ilvl w:val="0"/>
          <w:numId w:val="52"/>
        </w:numPr>
        <w:rPr>
          <w:lang w:val="es-ES"/>
        </w:rPr>
      </w:pPr>
      <w:r w:rsidRPr="00547C13">
        <w:rPr>
          <w:b/>
          <w:bCs/>
          <w:lang w:val="es-ES"/>
        </w:rPr>
        <w:t>Desafíos y Consideraciones de Seguridad</w:t>
      </w:r>
      <w:r w:rsidRPr="00547C13">
        <w:rPr>
          <w:lang w:val="es-ES"/>
        </w:rPr>
        <w:t>: Aunque el Cloud Computing ofrece numerosas ventajas, también presenta desafíos relacionados con la seguridad de los datos y la privacidad. Comprender las prácticas de seguridad y cumplimiento es crucial para proteger la información y operar de manera segura en la nube.</w:t>
      </w:r>
    </w:p>
    <w:p w14:paraId="70EAB45E" w14:textId="46B91C89" w:rsidR="00547C13" w:rsidRDefault="00547C13" w:rsidP="00547C13">
      <w:pPr>
        <w:rPr>
          <w:lang w:val="es-ES"/>
        </w:rPr>
      </w:pPr>
      <w:r w:rsidRPr="00547C13">
        <w:rPr>
          <w:lang w:val="es-ES"/>
        </w:rPr>
        <w:drawing>
          <wp:inline distT="0" distB="0" distL="0" distR="0" wp14:anchorId="46888D02" wp14:editId="78E1F110">
            <wp:extent cx="6400800" cy="2388235"/>
            <wp:effectExtent l="0" t="0" r="0" b="0"/>
            <wp:docPr id="103916495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9164959" name=""/>
                    <pic:cNvPicPr/>
                  </pic:nvPicPr>
                  <pic:blipFill>
                    <a:blip r:embed="rId29"/>
                    <a:stretch>
                      <a:fillRect/>
                    </a:stretch>
                  </pic:blipFill>
                  <pic:spPr>
                    <a:xfrm>
                      <a:off x="0" y="0"/>
                      <a:ext cx="6400800" cy="2388235"/>
                    </a:xfrm>
                    <a:prstGeom prst="rect">
                      <a:avLst/>
                    </a:prstGeom>
                  </pic:spPr>
                </pic:pic>
              </a:graphicData>
            </a:graphic>
          </wp:inline>
        </w:drawing>
      </w:r>
    </w:p>
    <w:p w14:paraId="2420B881" w14:textId="77777777" w:rsidR="00AD79D9" w:rsidRPr="00AD79D9" w:rsidRDefault="00AD79D9" w:rsidP="00AD79D9">
      <w:pPr>
        <w:rPr>
          <w:b/>
          <w:bCs/>
          <w:lang w:val="es-ES"/>
        </w:rPr>
      </w:pPr>
      <w:r w:rsidRPr="00AD79D9">
        <w:rPr>
          <w:b/>
          <w:bCs/>
          <w:lang w:val="es-ES"/>
        </w:rPr>
        <w:t>2.1.6.- Ciberseguridad.</w:t>
      </w:r>
    </w:p>
    <w:p w14:paraId="1652FCE4" w14:textId="77777777" w:rsidR="00AD79D9" w:rsidRPr="00AD79D9" w:rsidRDefault="00AD79D9" w:rsidP="00AD79D9">
      <w:pPr>
        <w:rPr>
          <w:lang w:val="es-ES"/>
        </w:rPr>
      </w:pPr>
      <w:hyperlink r:id="rId30" w:tooltip="Ocultar" w:history="1">
        <w:r w:rsidRPr="00AD79D9">
          <w:rPr>
            <w:rStyle w:val="Hyperlink"/>
            <w:lang w:val="es-ES"/>
          </w:rPr>
          <w:t>Ocultar</w:t>
        </w:r>
      </w:hyperlink>
    </w:p>
    <w:p w14:paraId="08BC6A02" w14:textId="77777777" w:rsidR="00AD79D9" w:rsidRPr="00AD79D9" w:rsidRDefault="00AD79D9" w:rsidP="00AD79D9">
      <w:pPr>
        <w:rPr>
          <w:lang w:val="es-ES"/>
        </w:rPr>
      </w:pPr>
      <w:r w:rsidRPr="00AD79D9">
        <w:rPr>
          <w:lang w:val="es-ES"/>
        </w:rPr>
        <w:t>En la era actual, profundamente arraigada en la digitalización, donde la generación, compartición y almacenamiento de datos en línea se incrementan a un ritmo sin precedentes, la importancia de la ciberseguridad se magnifica, convirtiéndose en un requisito fundamental para proteger dicha información de accesos no autorizados, ataques cibernéticos sofisticados y diversas formas de violaciones de seguridad. Esta disciplina esencial engloba una amplia gama de prácticas, tecnologías avanzadas y procesos meticulosamente diseñados con el fin de fortalecer las defensas de redes, dispositivos y programas contra las incursiones maliciosas. Su propósito primordial es triple: asegurar la integridad, garantizando que la información se mantenga correcta y sin alteraciones; proteger la confidencialidad, asegurando que solo aquellos con la autorización necesaria puedan acceder a la información sensible; y preservar la disponibilidad, asegurando que la información y los recursos críticos estén accesibles para los usuarios legítimos cuando lo necesiten, contribuyendo así a la protección de los valiosos activos de las organizaciones y la privacidad de los individuos.</w:t>
      </w:r>
    </w:p>
    <w:p w14:paraId="49BFF297" w14:textId="77777777" w:rsidR="00AD79D9" w:rsidRPr="00AD79D9" w:rsidRDefault="00AD79D9" w:rsidP="00AD79D9">
      <w:pPr>
        <w:rPr>
          <w:lang w:val="es-ES"/>
        </w:rPr>
      </w:pPr>
      <w:r w:rsidRPr="00AD79D9">
        <w:rPr>
          <w:lang w:val="es-ES"/>
        </w:rPr>
        <w:t xml:space="preserve">Más allá de la protección de datos, la ciberseguridad juega un papel crucial en mantener la infraestructura crítica de nuestra sociedad funcionando sin interrupciones. Desde sistemas de energía </w:t>
      </w:r>
      <w:r w:rsidRPr="00AD79D9">
        <w:rPr>
          <w:lang w:val="es-ES"/>
        </w:rPr>
        <w:lastRenderedPageBreak/>
        <w:t>hasta redes de transporte y servicios financieros, todos dependen de la ciberseguridad para resistir contra las amenazas que podrían desestabilizar la economía y la seguridad pública. Además, en un entorno empresarial, una estrategia robusta de ciberseguridad no solo minimiza el riesgo de incidentes costosos y daños a la reputación sino que también cumple con las expectativas de regulaciones y estándares de seguridad cada vez más estrictos, evitando así sanciones legales y financieras.</w:t>
      </w:r>
    </w:p>
    <w:p w14:paraId="63CA64FE" w14:textId="77777777" w:rsidR="00AD79D9" w:rsidRPr="00AD79D9" w:rsidRDefault="00AD79D9" w:rsidP="00AD79D9">
      <w:pPr>
        <w:rPr>
          <w:lang w:val="es-ES"/>
        </w:rPr>
      </w:pPr>
      <w:r w:rsidRPr="00AD79D9">
        <w:rPr>
          <w:lang w:val="es-ES"/>
        </w:rPr>
        <w:t>Sin embargo, a medida que las tecnologías evolucionan, también lo hacen las tácticas de los ciberdelincuentes, quienes constantemente buscan nuevas vulnerabilidades que explotar. Esto requiere que las estrategias de ciberseguridad sean dinámicas y adaptativas, incorporando los últimos avances en tecnología de seguridad y adoptando un enfoque proactivo para identificar y mitigar riesgos antes de que se materialicen en brechas de seguridad. La educación continua y la concienciación sobre ciberseguridad se convierten, por tanto, en componentes esenciales para cualquier estrategia de seguridad, empoderando a individuos y organizaciones para reconocer y responder adecuadamente a las amenazas cibernéticas.</w:t>
      </w:r>
    </w:p>
    <w:p w14:paraId="2890963B" w14:textId="28383E7E" w:rsidR="00AD79D9" w:rsidRDefault="00AD79D9" w:rsidP="00547C13">
      <w:pPr>
        <w:rPr>
          <w:i/>
          <w:iCs/>
        </w:rPr>
      </w:pPr>
      <w:r w:rsidRPr="00AD79D9">
        <w:rPr>
          <w:i/>
          <w:iCs/>
        </w:rPr>
        <w:t>En la era de la información, la ciberseguridad no es solo una capa adicional de protección; es un pilar fundamental para la confianza digital, asegurando que nuestros datos más sensibles —desde información personal hasta secretos corporativos— estén protegidos contra las crecientes amenazas cibernéticas.</w:t>
      </w:r>
    </w:p>
    <w:p w14:paraId="28AA6209" w14:textId="77777777" w:rsidR="00AD79D9" w:rsidRPr="00AD79D9" w:rsidRDefault="00AD79D9" w:rsidP="00AD79D9">
      <w:pPr>
        <w:rPr>
          <w:b/>
          <w:bCs/>
          <w:lang w:val="es-ES"/>
        </w:rPr>
      </w:pPr>
      <w:r w:rsidRPr="00AD79D9">
        <w:rPr>
          <w:b/>
          <w:bCs/>
          <w:lang w:val="es-ES"/>
        </w:rPr>
        <w:t>Principales Amenazas Cibernéticas</w:t>
      </w:r>
    </w:p>
    <w:p w14:paraId="5D0CC976" w14:textId="77777777" w:rsidR="00AD79D9" w:rsidRPr="00AD79D9" w:rsidRDefault="00AD79D9" w:rsidP="00AD79D9">
      <w:pPr>
        <w:rPr>
          <w:lang w:val="es-ES"/>
        </w:rPr>
      </w:pPr>
      <w:r w:rsidRPr="00AD79D9">
        <w:rPr>
          <w:lang w:val="es-ES"/>
        </w:rPr>
        <w:br/>
        <w:t>Entender la amplia gama de amenazas cibernéticas es esencial en el actual paisaje digital, donde los ataques cibernéticos no solo se han vuelto más frecuentes sino también más sofisticados. Estas amenazas pueden comprometer seriamente la seguridad de la información, los activos digitales y, en última instancia, la integridad operativa de las organizaciones. Entre las principales amenazas cibernéticas, se encuentran:</w:t>
      </w:r>
    </w:p>
    <w:p w14:paraId="4E998F94" w14:textId="77777777" w:rsidR="00AD79D9" w:rsidRPr="00AD79D9" w:rsidRDefault="00AD79D9" w:rsidP="00AD79D9">
      <w:pPr>
        <w:numPr>
          <w:ilvl w:val="0"/>
          <w:numId w:val="53"/>
        </w:numPr>
        <w:rPr>
          <w:lang w:val="es-ES"/>
        </w:rPr>
      </w:pPr>
      <w:r w:rsidRPr="00AD79D9">
        <w:rPr>
          <w:b/>
          <w:bCs/>
          <w:lang w:val="es-ES"/>
        </w:rPr>
        <w:t>Malware</w:t>
      </w:r>
      <w:r w:rsidRPr="00AD79D9">
        <w:rPr>
          <w:lang w:val="es-ES"/>
        </w:rPr>
        <w:t xml:space="preserve">: Un término general que engloba diversos tipos de software malicioso diseñado para dañar o explotar cualquier sistema vulnerable. Esto incluye </w:t>
      </w:r>
      <w:hyperlink r:id="rId31" w:anchor="t2223b0e1-27ae-d7b5-87ab-5cdca1274866" w:history="1">
        <w:r w:rsidRPr="00AD79D9">
          <w:rPr>
            <w:rStyle w:val="Hyperlink"/>
            <w:b/>
            <w:bCs/>
            <w:lang w:val="es-ES"/>
          </w:rPr>
          <w:t>virus</w:t>
        </w:r>
      </w:hyperlink>
      <w:r w:rsidRPr="00AD79D9">
        <w:rPr>
          <w:lang w:val="es-ES"/>
        </w:rPr>
        <w:t xml:space="preserve">, </w:t>
      </w:r>
      <w:hyperlink r:id="rId32" w:anchor="t93240337-6e0a-264f-5413-c9f640b09ceb" w:history="1">
        <w:r w:rsidRPr="00AD79D9">
          <w:rPr>
            <w:rStyle w:val="Hyperlink"/>
            <w:b/>
            <w:bCs/>
            <w:lang w:val="es-ES"/>
          </w:rPr>
          <w:t>gusanos</w:t>
        </w:r>
      </w:hyperlink>
      <w:r w:rsidRPr="00AD79D9">
        <w:rPr>
          <w:lang w:val="es-ES"/>
        </w:rPr>
        <w:t xml:space="preserve">, </w:t>
      </w:r>
      <w:hyperlink r:id="rId33" w:anchor="t69135c4e-d368-5625-a667-531b217cf38c" w:history="1">
        <w:r w:rsidRPr="00AD79D9">
          <w:rPr>
            <w:rStyle w:val="Hyperlink"/>
            <w:b/>
            <w:bCs/>
            <w:lang w:val="es-ES"/>
          </w:rPr>
          <w:t>troyanos</w:t>
        </w:r>
      </w:hyperlink>
      <w:r w:rsidRPr="00AD79D9">
        <w:rPr>
          <w:lang w:val="es-ES"/>
        </w:rPr>
        <w:t xml:space="preserve">, y </w:t>
      </w:r>
      <w:hyperlink r:id="rId34" w:anchor="t026374fa-f4cb-0fb9-d6cd-b656c867e162" w:history="1">
        <w:r w:rsidRPr="00AD79D9">
          <w:rPr>
            <w:rStyle w:val="Hyperlink"/>
            <w:b/>
            <w:bCs/>
            <w:lang w:val="es-ES"/>
          </w:rPr>
          <w:t>ransomware</w:t>
        </w:r>
      </w:hyperlink>
      <w:r w:rsidRPr="00AD79D9">
        <w:rPr>
          <w:lang w:val="es-ES"/>
        </w:rPr>
        <w:t>. Mientras algunos están diseñados para dañar dispositivos o datos, otros buscan tomar control de sistemas o cifrar datos para exigir un rescate.</w:t>
      </w:r>
    </w:p>
    <w:p w14:paraId="74260731" w14:textId="77777777" w:rsidR="00AD79D9" w:rsidRPr="00AD79D9" w:rsidRDefault="00AD79D9" w:rsidP="00AD79D9">
      <w:pPr>
        <w:numPr>
          <w:ilvl w:val="0"/>
          <w:numId w:val="53"/>
        </w:numPr>
        <w:rPr>
          <w:lang w:val="es-ES"/>
        </w:rPr>
      </w:pPr>
      <w:r w:rsidRPr="00AD79D9">
        <w:rPr>
          <w:b/>
          <w:bCs/>
          <w:lang w:val="es-ES"/>
        </w:rPr>
        <w:t>Phishing</w:t>
      </w:r>
      <w:r w:rsidRPr="00AD79D9">
        <w:rPr>
          <w:lang w:val="es-ES"/>
        </w:rPr>
        <w:t>: Una técnica de ingeniería social que engaña a los usuarios para que revelen información confidencial, como contraseñas y detalles de tarjetas de crédito, a través de correos electrónicos fraudulentos o sitios web falsificados. Esta táctica se ha vuelto más avanzada con el uso de spear phishing, donde los ataques son altamente personalizados para aumentar su efectividad.</w:t>
      </w:r>
    </w:p>
    <w:p w14:paraId="71EEC840" w14:textId="77777777" w:rsidR="00AD79D9" w:rsidRPr="00AD79D9" w:rsidRDefault="00AD79D9" w:rsidP="00AD79D9">
      <w:pPr>
        <w:numPr>
          <w:ilvl w:val="0"/>
          <w:numId w:val="53"/>
        </w:numPr>
        <w:rPr>
          <w:lang w:val="es-ES"/>
        </w:rPr>
      </w:pPr>
      <w:r w:rsidRPr="00AD79D9">
        <w:rPr>
          <w:b/>
          <w:bCs/>
          <w:lang w:val="es-ES"/>
        </w:rPr>
        <w:t>Ataques de Denegación de Servicio (DOS/DDoS)</w:t>
      </w:r>
      <w:r w:rsidRPr="00AD79D9">
        <w:rPr>
          <w:lang w:val="es-ES"/>
        </w:rPr>
        <w:t>: Estos ataques buscan inundar los sistemas, redes o aplicaciones con tráfico para sobrecargarlos y hacerlos inaccesibles a los usuarios legítimos. Los ataques DDoS, en particular, utilizan múltiples sistemas comprometidos como fuentes de tráfico, aumentando su escala y efecto.</w:t>
      </w:r>
    </w:p>
    <w:p w14:paraId="70853D5A" w14:textId="77777777" w:rsidR="00AD79D9" w:rsidRPr="00AD79D9" w:rsidRDefault="00AD79D9" w:rsidP="00AD79D9">
      <w:pPr>
        <w:numPr>
          <w:ilvl w:val="0"/>
          <w:numId w:val="53"/>
        </w:numPr>
        <w:rPr>
          <w:lang w:val="es-ES"/>
        </w:rPr>
      </w:pPr>
      <w:r w:rsidRPr="00AD79D9">
        <w:rPr>
          <w:b/>
          <w:bCs/>
          <w:lang w:val="es-ES"/>
        </w:rPr>
        <w:t>Brechas de Datos</w:t>
      </w:r>
      <w:r w:rsidRPr="00AD79D9">
        <w:rPr>
          <w:lang w:val="es-ES"/>
        </w:rPr>
        <w:t>: Ocurren cuando la información confidencial es expuesta a actores no autorizados, ya sea por ataques externos o negligencia interna. Estas brechas pueden llevar a la pérdida de propiedad intelectual, datos personales de clientes y otros activos digitales valiosos.</w:t>
      </w:r>
    </w:p>
    <w:p w14:paraId="428F9A82" w14:textId="77777777" w:rsidR="00AD79D9" w:rsidRPr="00AD79D9" w:rsidRDefault="00AD79D9" w:rsidP="00AD79D9">
      <w:pPr>
        <w:numPr>
          <w:ilvl w:val="0"/>
          <w:numId w:val="53"/>
        </w:numPr>
        <w:rPr>
          <w:lang w:val="es-ES"/>
        </w:rPr>
      </w:pPr>
      <w:r w:rsidRPr="00AD79D9">
        <w:rPr>
          <w:b/>
          <w:bCs/>
          <w:lang w:val="es-ES"/>
        </w:rPr>
        <w:lastRenderedPageBreak/>
        <w:t>Ataques de Man-in-the-Middle (MitM)</w:t>
      </w:r>
      <w:r w:rsidRPr="00AD79D9">
        <w:rPr>
          <w:lang w:val="es-ES"/>
        </w:rPr>
        <w:t>: En estos ataques, un agente malicioso intercepta y posiblemente altera la comunicación entre dos partes sin su conocimiento. Esto puede ocurrir en redes inseguras, como las Wi-Fi públicas, donde los datos pueden ser capturados o manipulados.</w:t>
      </w:r>
    </w:p>
    <w:p w14:paraId="1A274DF6" w14:textId="77777777" w:rsidR="00AD79D9" w:rsidRPr="00AD79D9" w:rsidRDefault="00AD79D9" w:rsidP="00AD79D9">
      <w:pPr>
        <w:numPr>
          <w:ilvl w:val="0"/>
          <w:numId w:val="53"/>
        </w:numPr>
        <w:rPr>
          <w:lang w:val="es-ES"/>
        </w:rPr>
      </w:pPr>
      <w:r w:rsidRPr="00AD79D9">
        <w:rPr>
          <w:b/>
          <w:bCs/>
          <w:lang w:val="es-ES"/>
        </w:rPr>
        <w:t>Cryptojacking</w:t>
      </w:r>
      <w:r w:rsidRPr="00AD79D9">
        <w:rPr>
          <w:lang w:val="es-ES"/>
        </w:rPr>
        <w:t>: Una amenaza relativamente nueva que involucra la utilización no autorizada de recursos informáticos de una víctima para minar criptomonedas. Esto no solo consume recursos sino que también puede ralentizar o dañar los dispositivos afectados.</w:t>
      </w:r>
    </w:p>
    <w:p w14:paraId="50B7A0F7" w14:textId="77777777" w:rsidR="00AD79D9" w:rsidRPr="00AD79D9" w:rsidRDefault="00AD79D9" w:rsidP="00AD79D9">
      <w:pPr>
        <w:rPr>
          <w:b/>
          <w:bCs/>
          <w:lang w:val="es-ES"/>
        </w:rPr>
      </w:pPr>
      <w:r w:rsidRPr="00AD79D9">
        <w:rPr>
          <w:b/>
          <w:bCs/>
          <w:lang w:val="es-ES"/>
        </w:rPr>
        <w:t>Estrategias de Protección.</w:t>
      </w:r>
    </w:p>
    <w:p w14:paraId="2FA70BBB" w14:textId="77777777" w:rsidR="00AD79D9" w:rsidRPr="00AD79D9" w:rsidRDefault="00AD79D9" w:rsidP="00AD79D9">
      <w:pPr>
        <w:rPr>
          <w:lang w:val="es-ES"/>
        </w:rPr>
      </w:pPr>
      <w:r w:rsidRPr="00AD79D9">
        <w:rPr>
          <w:lang w:val="es-ES"/>
        </w:rPr>
        <w:t xml:space="preserve">Adoptar estrategias y herramientas efectivas de protección es fundamental para salvaguardar la infraestructura de TI de una organización. Estas estrategias no solo </w:t>
      </w:r>
      <w:r w:rsidRPr="00AD79D9">
        <w:rPr>
          <w:b/>
          <w:bCs/>
          <w:lang w:val="es-ES"/>
        </w:rPr>
        <w:t>previenen</w:t>
      </w:r>
      <w:r w:rsidRPr="00AD79D9">
        <w:rPr>
          <w:lang w:val="es-ES"/>
        </w:rPr>
        <w:t xml:space="preserve"> ataques, sino que también </w:t>
      </w:r>
      <w:r w:rsidRPr="00AD79D9">
        <w:rPr>
          <w:b/>
          <w:bCs/>
          <w:lang w:val="es-ES"/>
        </w:rPr>
        <w:t>minimizan</w:t>
      </w:r>
      <w:r w:rsidRPr="00AD79D9">
        <w:rPr>
          <w:lang w:val="es-ES"/>
        </w:rPr>
        <w:t xml:space="preserve"> el impacto potencial de cualquier violación de seguridad, asegurando la continuidad del negocio y la protección de datos sensibles. Entre las herramientas y estrategias más críticas podemos encontrar:</w:t>
      </w:r>
    </w:p>
    <w:p w14:paraId="3679E345" w14:textId="77777777" w:rsidR="00AD79D9" w:rsidRPr="00AD79D9" w:rsidRDefault="00AD79D9" w:rsidP="00AD79D9">
      <w:pPr>
        <w:numPr>
          <w:ilvl w:val="0"/>
          <w:numId w:val="54"/>
        </w:numPr>
        <w:rPr>
          <w:lang w:val="es-ES"/>
        </w:rPr>
      </w:pPr>
      <w:r w:rsidRPr="00AD79D9">
        <w:rPr>
          <w:b/>
          <w:bCs/>
          <w:lang w:val="es-ES"/>
        </w:rPr>
        <w:t>Firewalls</w:t>
      </w:r>
      <w:r w:rsidRPr="00AD79D9">
        <w:rPr>
          <w:lang w:val="es-ES"/>
        </w:rPr>
        <w:t>: Actúan como la primera línea de defensa en la seguridad de la red, estableciendo una barrera entre la red interna segura y el tráfico de Internet no confiable. Los firewalls pueden ser de hardware o software y están diseñados para filtrar el tráfico entrante y saliente basándose en un conjunto de reglas de seguridad definidas, bloqueando así el acceso no autorizado a los recursos de la red.</w:t>
      </w:r>
    </w:p>
    <w:p w14:paraId="7D109BD7" w14:textId="77777777" w:rsidR="00AD79D9" w:rsidRPr="00AD79D9" w:rsidRDefault="00AD79D9" w:rsidP="00AD79D9">
      <w:pPr>
        <w:numPr>
          <w:ilvl w:val="0"/>
          <w:numId w:val="54"/>
        </w:numPr>
        <w:rPr>
          <w:lang w:val="es-ES"/>
        </w:rPr>
      </w:pPr>
      <w:r w:rsidRPr="00AD79D9">
        <w:rPr>
          <w:b/>
          <w:bCs/>
          <w:lang w:val="es-ES"/>
        </w:rPr>
        <w:t>Programas Antivirus</w:t>
      </w:r>
      <w:r w:rsidRPr="00AD79D9">
        <w:rPr>
          <w:lang w:val="es-ES"/>
        </w:rPr>
        <w:t>: Proporcionan protección esencial contra malware, incluyendo virus, gusanos y troyanos. Al escanear regularmente el sistema en busca de códigos maliciosos y monitorear el comportamiento de los programas, los antivirus pueden detectar y eliminar el software malicioso antes de que cause daño.</w:t>
      </w:r>
    </w:p>
    <w:p w14:paraId="013775C7" w14:textId="77777777" w:rsidR="00AD79D9" w:rsidRPr="00AD79D9" w:rsidRDefault="00AD79D9" w:rsidP="00AD79D9">
      <w:pPr>
        <w:numPr>
          <w:ilvl w:val="0"/>
          <w:numId w:val="54"/>
        </w:numPr>
        <w:rPr>
          <w:lang w:val="es-ES"/>
        </w:rPr>
      </w:pPr>
      <w:r w:rsidRPr="00AD79D9">
        <w:rPr>
          <w:b/>
          <w:bCs/>
          <w:lang w:val="es-ES"/>
        </w:rPr>
        <w:t>Cifrado de Datos</w:t>
      </w:r>
      <w:r w:rsidRPr="00AD79D9">
        <w:rPr>
          <w:lang w:val="es-ES"/>
        </w:rPr>
        <w:t>: El cifrado convierte los datos en un formato ilegible para cualquier persona que no tenga la clave de cifrado, asegurando que la información sensible, tanto en tránsito como en reposo, esté protegida contra accesos no autorizados. El cifrado es esencial para proteger la privacidad de los datos de clientes y la propiedad intelectual de la empresa.</w:t>
      </w:r>
    </w:p>
    <w:p w14:paraId="47AE11B5" w14:textId="77777777" w:rsidR="00AD79D9" w:rsidRPr="00AD79D9" w:rsidRDefault="00AD79D9" w:rsidP="00AD79D9">
      <w:pPr>
        <w:numPr>
          <w:ilvl w:val="0"/>
          <w:numId w:val="54"/>
        </w:numPr>
        <w:rPr>
          <w:lang w:val="es-ES"/>
        </w:rPr>
      </w:pPr>
      <w:r w:rsidRPr="00AD79D9">
        <w:rPr>
          <w:b/>
          <w:bCs/>
          <w:lang w:val="es-ES"/>
        </w:rPr>
        <w:t>Autenticación de Dos Factores (2FA)</w:t>
      </w:r>
      <w:r w:rsidRPr="00AD79D9">
        <w:rPr>
          <w:lang w:val="es-ES"/>
        </w:rPr>
        <w:t>: Añade una capa adicional de seguridad al proceso de inicio de sesión, requiriendo dos formas de identificación independientes del usuario. Esto puede incluir algo que el usuario sabe (como una contraseña), algo que el usuario tiene (como un teléfono móvil para recibir un código de verificación) o algo que el usuario es (como una huella digital).</w:t>
      </w:r>
    </w:p>
    <w:p w14:paraId="7BEA325B" w14:textId="77777777" w:rsidR="00AD79D9" w:rsidRPr="00AD79D9" w:rsidRDefault="00AD79D9" w:rsidP="00AD79D9">
      <w:pPr>
        <w:numPr>
          <w:ilvl w:val="0"/>
          <w:numId w:val="54"/>
        </w:numPr>
        <w:rPr>
          <w:lang w:val="es-ES"/>
        </w:rPr>
      </w:pPr>
      <w:r w:rsidRPr="00AD79D9">
        <w:rPr>
          <w:b/>
          <w:bCs/>
          <w:lang w:val="es-ES"/>
        </w:rPr>
        <w:t>Redes Privadas Virtuales (VPN)</w:t>
      </w:r>
      <w:r w:rsidRPr="00AD79D9">
        <w:rPr>
          <w:lang w:val="es-ES"/>
        </w:rPr>
        <w:t xml:space="preserve">: Permiten a los usuarios crear una conexión segura y cifrada a otra red a través de Internet, protegiendo así los datos en tránsito. Las VPN son especialmente útiles para proteger la información sensible cuando se accede a recursos de la empresa desde redes públicas o no seguras, como </w:t>
      </w:r>
      <w:hyperlink r:id="rId35" w:anchor="t75bb8efb-5f37-eb63-6d4c-1c8e03c43530" w:history="1">
        <w:r w:rsidRPr="00AD79D9">
          <w:rPr>
            <w:rStyle w:val="Hyperlink"/>
            <w:b/>
            <w:bCs/>
            <w:lang w:val="es-ES"/>
          </w:rPr>
          <w:t>Wi-Fi</w:t>
        </w:r>
      </w:hyperlink>
      <w:r w:rsidRPr="00AD79D9">
        <w:rPr>
          <w:lang w:val="es-ES"/>
        </w:rPr>
        <w:t xml:space="preserve"> en cafeterías o aeropuertos.</w:t>
      </w:r>
    </w:p>
    <w:p w14:paraId="629ABE0C" w14:textId="77777777" w:rsidR="00AD79D9" w:rsidRPr="00AD79D9" w:rsidRDefault="00AD79D9" w:rsidP="00AD79D9">
      <w:pPr>
        <w:rPr>
          <w:lang w:val="es-ES"/>
        </w:rPr>
      </w:pPr>
      <w:r w:rsidRPr="00AD79D9">
        <w:rPr>
          <w:lang w:val="es-ES"/>
        </w:rPr>
        <w:t xml:space="preserve">Implementar estas estrategias de protección requiere una planificación cuidadosa y una ejecución precisa, así como un compromiso continuo con la actualización y el mantenimiento de la infraestructura de seguridad. Además, es crucial fomentar una cultura de concienciación sobre ciberseguridad entre todos los empleados, ya que las herramientas tecnológicas solo son tan efectivas como las personas que las utilizan. La </w:t>
      </w:r>
      <w:r w:rsidRPr="00AD79D9">
        <w:rPr>
          <w:b/>
          <w:bCs/>
          <w:lang w:val="es-ES"/>
        </w:rPr>
        <w:t>educación y capacitación</w:t>
      </w:r>
      <w:r w:rsidRPr="00AD79D9">
        <w:rPr>
          <w:lang w:val="es-ES"/>
        </w:rPr>
        <w:t xml:space="preserve"> regulares pueden ayudar a asegurar que los miembros del </w:t>
      </w:r>
      <w:r w:rsidRPr="00AD79D9">
        <w:rPr>
          <w:lang w:val="es-ES"/>
        </w:rPr>
        <w:lastRenderedPageBreak/>
        <w:t>equipo estén informados sobre las mejores prácticas de seguridad, los riesgos potenciales y cómo responder ante incidentes de seguridad, fortaleciendo así la postura general de seguridad de la organización.</w:t>
      </w:r>
    </w:p>
    <w:p w14:paraId="0A5C013F" w14:textId="77777777" w:rsidR="00AD79D9" w:rsidRPr="00AD79D9" w:rsidRDefault="00AD79D9" w:rsidP="00AD79D9">
      <w:pPr>
        <w:rPr>
          <w:b/>
          <w:bCs/>
          <w:lang w:val="es-ES"/>
        </w:rPr>
      </w:pPr>
      <w:r w:rsidRPr="00AD79D9">
        <w:rPr>
          <w:b/>
          <w:bCs/>
          <w:lang w:val="es-ES"/>
        </w:rPr>
        <w:t>Debes conocer</w:t>
      </w:r>
    </w:p>
    <w:p w14:paraId="0AFBAD00" w14:textId="77777777" w:rsidR="00AD79D9" w:rsidRPr="00AD79D9" w:rsidRDefault="00AD79D9" w:rsidP="00AD79D9">
      <w:pPr>
        <w:numPr>
          <w:ilvl w:val="0"/>
          <w:numId w:val="55"/>
        </w:numPr>
        <w:rPr>
          <w:lang w:val="es-ES"/>
        </w:rPr>
      </w:pPr>
      <w:r w:rsidRPr="00AD79D9">
        <w:rPr>
          <w:b/>
          <w:bCs/>
          <w:lang w:val="es-ES"/>
        </w:rPr>
        <w:t>Normativas y Cumplimiento</w:t>
      </w:r>
      <w:r w:rsidRPr="00AD79D9">
        <w:rPr>
          <w:lang w:val="es-ES"/>
        </w:rPr>
        <w:t xml:space="preserve">: Es importante estar al tanto de las leyes y regulaciones sobre ciberseguridad y protección de datos aplicables en diferentes jurisdicciones, como el </w:t>
      </w:r>
      <w:hyperlink r:id="rId36" w:tgtFrame="_blank" w:tooltip="Enlace que lleva a la web oficial del Reglamento General de Protección de Datos de la Unión Europea (se abre en una ventana nueva)" w:history="1">
        <w:r w:rsidRPr="00AD79D9">
          <w:rPr>
            <w:rStyle w:val="Hyperlink"/>
            <w:b/>
            <w:bCs/>
            <w:lang w:val="es-ES"/>
          </w:rPr>
          <w:t>GDPR en Europa</w:t>
        </w:r>
      </w:hyperlink>
      <w:r w:rsidRPr="00AD79D9">
        <w:rPr>
          <w:lang w:val="es-ES"/>
        </w:rPr>
        <w:t>. Cumplir con estas normativas no solo es legalmente obligatorio sino que también refuerza la postura de seguridad de una organización.</w:t>
      </w:r>
    </w:p>
    <w:p w14:paraId="74289F21" w14:textId="77777777" w:rsidR="00AD79D9" w:rsidRPr="00AD79D9" w:rsidRDefault="00AD79D9" w:rsidP="00AD79D9">
      <w:pPr>
        <w:numPr>
          <w:ilvl w:val="0"/>
          <w:numId w:val="55"/>
        </w:numPr>
        <w:rPr>
          <w:lang w:val="es-ES"/>
        </w:rPr>
      </w:pPr>
      <w:r w:rsidRPr="00AD79D9">
        <w:rPr>
          <w:b/>
          <w:bCs/>
          <w:lang w:val="es-ES"/>
        </w:rPr>
        <w:t>Concienciación y Educación en Ciberseguridad</w:t>
      </w:r>
      <w:r w:rsidRPr="00AD79D9">
        <w:rPr>
          <w:lang w:val="es-ES"/>
        </w:rPr>
        <w:t xml:space="preserve">: La concienciación sobre ciberseguridad entre empleados y usuarios es una de las herramientas más efectivas contra los ataques cibernéticos. Programas de formación y buenas prácticas de seguridad como el que ofrece el </w:t>
      </w:r>
      <w:hyperlink r:id="rId37" w:tgtFrame="_blank" w:tooltip="Enlace que lleva a la web oficial del Incibe en su apartado de formación y concienciació para empresas (se abre en una ventana nueva)" w:history="1">
        <w:r w:rsidRPr="00AD79D9">
          <w:rPr>
            <w:rStyle w:val="Hyperlink"/>
            <w:b/>
            <w:bCs/>
            <w:lang w:val="es-ES"/>
          </w:rPr>
          <w:t>Instituto Nacional de Ciberseguridad de España</w:t>
        </w:r>
      </w:hyperlink>
      <w:r w:rsidRPr="00AD79D9">
        <w:rPr>
          <w:lang w:val="es-ES"/>
        </w:rPr>
        <w:t> pueden reducir significativamente el riesgo de incidentes de seguridad.</w:t>
      </w:r>
    </w:p>
    <w:p w14:paraId="1210A1E5" w14:textId="59DD84CD" w:rsidR="00AD79D9" w:rsidRPr="00AD79D9" w:rsidRDefault="00AD79D9" w:rsidP="00547C13">
      <w:pPr>
        <w:rPr>
          <w:lang w:val="es-ES"/>
        </w:rPr>
      </w:pPr>
      <w:r w:rsidRPr="00AD79D9">
        <w:rPr>
          <w:lang w:val="es-ES"/>
        </w:rPr>
        <w:drawing>
          <wp:inline distT="0" distB="0" distL="0" distR="0" wp14:anchorId="223C94ED" wp14:editId="424C03D3">
            <wp:extent cx="6400800" cy="2158365"/>
            <wp:effectExtent l="0" t="0" r="0" b="0"/>
            <wp:docPr id="63632553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6325536" name=""/>
                    <pic:cNvPicPr/>
                  </pic:nvPicPr>
                  <pic:blipFill>
                    <a:blip r:embed="rId38"/>
                    <a:stretch>
                      <a:fillRect/>
                    </a:stretch>
                  </pic:blipFill>
                  <pic:spPr>
                    <a:xfrm>
                      <a:off x="0" y="0"/>
                      <a:ext cx="6400800" cy="2158365"/>
                    </a:xfrm>
                    <a:prstGeom prst="rect">
                      <a:avLst/>
                    </a:prstGeom>
                  </pic:spPr>
                </pic:pic>
              </a:graphicData>
            </a:graphic>
          </wp:inline>
        </w:drawing>
      </w:r>
    </w:p>
    <w:sectPr w:rsidR="00AD79D9" w:rsidRPr="00AD79D9" w:rsidSect="00F20ACF">
      <w:headerReference w:type="default" r:id="rId39"/>
      <w:footerReference w:type="default" r:id="rId40"/>
      <w:pgSz w:w="12240" w:h="15840"/>
      <w:pgMar w:top="1440" w:right="1080" w:bottom="1440" w:left="108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372FC2E" w14:textId="77777777" w:rsidR="00161FD2" w:rsidRDefault="00161FD2" w:rsidP="006C60CA">
      <w:pPr>
        <w:spacing w:after="0" w:line="240" w:lineRule="auto"/>
      </w:pPr>
      <w:r>
        <w:separator/>
      </w:r>
    </w:p>
  </w:endnote>
  <w:endnote w:type="continuationSeparator" w:id="0">
    <w:p w14:paraId="7361A9A5" w14:textId="77777777" w:rsidR="00161FD2" w:rsidRDefault="00161FD2" w:rsidP="006C60CA">
      <w:pPr>
        <w:spacing w:after="0" w:line="240" w:lineRule="auto"/>
      </w:pPr>
      <w:r>
        <w:continuationSeparator/>
      </w:r>
    </w:p>
  </w:endnote>
  <w:endnote w:type="continuationNotice" w:id="1">
    <w:p w14:paraId="5840527F" w14:textId="77777777" w:rsidR="00161FD2" w:rsidRDefault="00161FD2">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onstantia">
    <w:panose1 w:val="02030602050306030303"/>
    <w:charset w:val="00"/>
    <w:family w:val="roman"/>
    <w:pitch w:val="variable"/>
    <w:sig w:usb0="A00002EF" w:usb1="4000204B" w:usb2="00000000" w:usb3="00000000" w:csb0="0000019F" w:csb1="00000000"/>
  </w:font>
  <w:font w:name="SimSun">
    <w:altName w:val="宋体"/>
    <w:panose1 w:val="02010600030101010101"/>
    <w:charset w:val="86"/>
    <w:family w:val="auto"/>
    <w:pitch w:val="variable"/>
    <w:sig w:usb0="00000203" w:usb1="288F0000" w:usb2="00000016" w:usb3="00000000" w:csb0="00040001" w:csb1="00000000"/>
  </w:font>
  <w:font w:name="SimHei">
    <w:altName w:val="黑体"/>
    <w:panose1 w:val="02010600030101010101"/>
    <w:charset w:val="86"/>
    <w:family w:val="modern"/>
    <w:pitch w:val="fixed"/>
    <w:sig w:usb0="800002BF" w:usb1="38CF7CFA" w:usb2="00000016" w:usb3="00000000" w:csb0="0004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0CB7F75" w14:textId="77777777" w:rsidR="004C3E25" w:rsidRDefault="004C3E25">
    <w:pPr>
      <w:pStyle w:val="Footer"/>
      <w:jc w:val="right"/>
    </w:pPr>
    <w:r>
      <w:rPr>
        <w:color w:val="549E39" w:themeColor="accent1"/>
        <w:sz w:val="20"/>
        <w:lang w:val="es-ES"/>
      </w:rPr>
      <w:t xml:space="preserve">pág. </w:t>
    </w:r>
    <w:r>
      <w:rPr>
        <w:color w:val="549E39" w:themeColor="accent1"/>
        <w:sz w:val="20"/>
      </w:rPr>
      <w:fldChar w:fldCharType="begin"/>
    </w:r>
    <w:r>
      <w:rPr>
        <w:color w:val="549E39" w:themeColor="accent1"/>
        <w:sz w:val="20"/>
      </w:rPr>
      <w:instrText>PAGE  \* Arabic</w:instrText>
    </w:r>
    <w:r>
      <w:rPr>
        <w:color w:val="549E39" w:themeColor="accent1"/>
        <w:sz w:val="20"/>
      </w:rPr>
      <w:fldChar w:fldCharType="separate"/>
    </w:r>
    <w:r w:rsidR="002727EA">
      <w:rPr>
        <w:noProof/>
        <w:color w:val="549E39" w:themeColor="accent1"/>
        <w:sz w:val="20"/>
      </w:rPr>
      <w:t>1</w:t>
    </w:r>
    <w:r>
      <w:rPr>
        <w:color w:val="549E39" w:themeColor="accent1"/>
        <w:sz w:val="20"/>
      </w:rPr>
      <w:fldChar w:fldCharType="end"/>
    </w:r>
  </w:p>
  <w:p w14:paraId="6EECD069" w14:textId="77777777" w:rsidR="004C3E25" w:rsidRDefault="004C3E25">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8665270" w14:textId="77777777" w:rsidR="00161FD2" w:rsidRDefault="00161FD2" w:rsidP="006C60CA">
      <w:pPr>
        <w:spacing w:after="0" w:line="240" w:lineRule="auto"/>
      </w:pPr>
      <w:r>
        <w:separator/>
      </w:r>
    </w:p>
  </w:footnote>
  <w:footnote w:type="continuationSeparator" w:id="0">
    <w:p w14:paraId="22B91955" w14:textId="77777777" w:rsidR="00161FD2" w:rsidRDefault="00161FD2" w:rsidP="006C60CA">
      <w:pPr>
        <w:spacing w:after="0" w:line="240" w:lineRule="auto"/>
      </w:pPr>
      <w:r>
        <w:continuationSeparator/>
      </w:r>
    </w:p>
  </w:footnote>
  <w:footnote w:type="continuationNotice" w:id="1">
    <w:p w14:paraId="4D6852B8" w14:textId="77777777" w:rsidR="00161FD2" w:rsidRDefault="00161FD2">
      <w:pPr>
        <w:spacing w:after="0"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AE9474D" w14:textId="314E101E" w:rsidR="00201ED9" w:rsidRDefault="00B24E54">
    <w:pPr>
      <w:pStyle w:val="Header"/>
    </w:pPr>
    <w:r>
      <w:rPr>
        <w:noProof/>
        <w:lang w:val="es-ES" w:eastAsia="es-ES"/>
      </w:rPr>
      <w:drawing>
        <wp:anchor distT="0" distB="0" distL="114300" distR="114300" simplePos="0" relativeHeight="251659265" behindDoc="0" locked="0" layoutInCell="1" allowOverlap="1" wp14:anchorId="1ACD1E66" wp14:editId="0E98F84D">
          <wp:simplePos x="0" y="0"/>
          <wp:positionH relativeFrom="column">
            <wp:posOffset>5777658</wp:posOffset>
          </wp:positionH>
          <wp:positionV relativeFrom="paragraph">
            <wp:posOffset>-310515</wp:posOffset>
          </wp:positionV>
          <wp:extent cx="913079" cy="720000"/>
          <wp:effectExtent l="0" t="0" r="1905" b="4445"/>
          <wp:wrapThrough wrapText="bothSides">
            <wp:wrapPolygon edited="0">
              <wp:start x="12927" y="0"/>
              <wp:lineTo x="4209" y="1525"/>
              <wp:lineTo x="0" y="3432"/>
              <wp:lineTo x="0" y="20208"/>
              <wp:lineTo x="2405" y="20971"/>
              <wp:lineTo x="6914" y="21352"/>
              <wp:lineTo x="8418" y="21352"/>
              <wp:lineTo x="19240" y="20971"/>
              <wp:lineTo x="21344" y="20590"/>
              <wp:lineTo x="21044" y="17921"/>
              <wp:lineTo x="13228" y="12201"/>
              <wp:lineTo x="15031" y="6101"/>
              <wp:lineTo x="21044" y="3813"/>
              <wp:lineTo x="21344" y="1906"/>
              <wp:lineTo x="18338" y="0"/>
              <wp:lineTo x="12927" y="0"/>
            </wp:wrapPolygon>
          </wp:wrapThrough>
          <wp:docPr id="1977737159" name="Imagen 1" descr="Imagen que contiene Text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7737159" name="Imagen 1" descr="Imagen que contiene Texto&#10;&#10;El contenido generado por IA puede ser incorrecto."/>
                  <pic:cNvPicPr/>
                </pic:nvPicPr>
                <pic:blipFill rotWithShape="1">
                  <a:blip r:embed="rId1">
                    <a:extLst>
                      <a:ext uri="{28A0092B-C50C-407E-A947-70E740481C1C}">
                        <a14:useLocalDpi xmlns:a14="http://schemas.microsoft.com/office/drawing/2010/main" val="0"/>
                      </a:ext>
                    </a:extLst>
                  </a:blip>
                  <a:srcRect/>
                  <a:stretch>
                    <a:fillRect/>
                  </a:stretch>
                </pic:blipFill>
                <pic:spPr bwMode="auto">
                  <a:xfrm>
                    <a:off x="0" y="0"/>
                    <a:ext cx="913079" cy="720000"/>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sidR="00201ED9">
      <w:rPr>
        <w:noProof/>
        <w:lang w:val="es-ES" w:eastAsia="es-ES"/>
      </w:rPr>
      <w:drawing>
        <wp:anchor distT="0" distB="0" distL="114300" distR="114300" simplePos="0" relativeHeight="251658241" behindDoc="1" locked="1" layoutInCell="1" allowOverlap="1" wp14:anchorId="097CD59F" wp14:editId="0BA37043">
          <wp:simplePos x="0" y="0"/>
          <wp:positionH relativeFrom="page">
            <wp:posOffset>0</wp:posOffset>
          </wp:positionH>
          <wp:positionV relativeFrom="paragraph">
            <wp:posOffset>-449580</wp:posOffset>
          </wp:positionV>
          <wp:extent cx="7763256" cy="10058894"/>
          <wp:effectExtent l="0" t="0" r="9525" b="0"/>
          <wp:wrapNone/>
          <wp:docPr id="1688533182" name="picture 2">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8533182" name="picture 2">
                    <a:extLst>
                      <a:ext uri="{C183D7F6-B498-43B3-948B-1728B52AA6E4}">
                        <adec:decorative xmlns:adec="http://schemas.microsoft.com/office/drawing/2017/decorative" val="1"/>
                      </a:ext>
                    </a:extLst>
                  </pic:cNvPr>
                  <pic:cNvPicPr/>
                </pic:nvPicPr>
                <pic:blipFill>
                  <a:blip r:embed="rId2">
                    <a:extLst>
                      <a:ext uri="{28A0092B-C50C-407E-A947-70E740481C1C}">
                        <a14:useLocalDpi xmlns:a14="http://schemas.microsoft.com/office/drawing/2010/main"/>
                      </a:ext>
                    </a:extLst>
                  </a:blip>
                  <a:stretch>
                    <a:fillRect/>
                  </a:stretch>
                </pic:blipFill>
                <pic:spPr>
                  <a:xfrm>
                    <a:off x="0" y="0"/>
                    <a:ext cx="7763256" cy="10058894"/>
                  </a:xfrm>
                  <a:prstGeom prst="rect">
                    <a:avLst/>
                  </a:prstGeom>
                </pic:spPr>
              </pic:pic>
            </a:graphicData>
          </a:graphic>
          <wp14:sizeRelH relativeFrom="page">
            <wp14:pctWidth>0</wp14:pctWidth>
          </wp14:sizeRelH>
          <wp14:sizeRelV relativeFrom="page">
            <wp14:pctHeight>0</wp14:pctHeight>
          </wp14:sizeRelV>
        </wp:anchor>
      </w:drawing>
    </w:r>
    <w:r w:rsidR="00201ED9">
      <w:rPr>
        <w:noProof/>
        <w:lang w:val="es-ES" w:eastAsia="es-ES"/>
      </w:rPr>
      <w:drawing>
        <wp:anchor distT="0" distB="0" distL="114300" distR="114300" simplePos="0" relativeHeight="251658240" behindDoc="1" locked="1" layoutInCell="1" allowOverlap="1" wp14:anchorId="260D92A2" wp14:editId="67178057">
          <wp:simplePos x="0" y="0"/>
          <wp:positionH relativeFrom="page">
            <wp:posOffset>0</wp:posOffset>
          </wp:positionH>
          <wp:positionV relativeFrom="paragraph">
            <wp:posOffset>-449580</wp:posOffset>
          </wp:positionV>
          <wp:extent cx="7763256" cy="10040112"/>
          <wp:effectExtent l="0" t="0" r="9525" b="0"/>
          <wp:wrapNone/>
          <wp:docPr id="1626273653" name="picture 1">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6273653" name="picture 1">
                    <a:extLst>
                      <a:ext uri="{C183D7F6-B498-43B3-948B-1728B52AA6E4}">
                        <adec:decorative xmlns:adec="http://schemas.microsoft.com/office/drawing/2017/decorative" val="1"/>
                      </a:ext>
                    </a:extLst>
                  </pic:cNvPr>
                  <pic:cNvPicPr/>
                </pic:nvPicPr>
                <pic:blipFill>
                  <a:blip r:embed="rId3">
                    <a:extLst>
                      <a:ext uri="{28A0092B-C50C-407E-A947-70E740481C1C}">
                        <a14:useLocalDpi xmlns:a14="http://schemas.microsoft.com/office/drawing/2010/main"/>
                      </a:ext>
                    </a:extLst>
                  </a:blip>
                  <a:stretch>
                    <a:fillRect/>
                  </a:stretch>
                </pic:blipFill>
                <pic:spPr>
                  <a:xfrm>
                    <a:off x="0" y="0"/>
                    <a:ext cx="7763256" cy="10040112"/>
                  </a:xfrm>
                  <a:prstGeom prst="rect">
                    <a:avLst/>
                  </a:prstGeom>
                </pic:spPr>
              </pic:pic>
            </a:graphicData>
          </a:graphic>
          <wp14:sizeRelH relativeFrom="page">
            <wp14:pctWidth>0</wp14:pctWidth>
          </wp14:sizeRelH>
          <wp14:sizeRelV relativeFrom="page">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567952"/>
    <w:multiLevelType w:val="multilevel"/>
    <w:tmpl w:val="41BC21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167016D"/>
    <w:multiLevelType w:val="multilevel"/>
    <w:tmpl w:val="B9DCBE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3C83A27"/>
    <w:multiLevelType w:val="hybridMultilevel"/>
    <w:tmpl w:val="6EF890F2"/>
    <w:lvl w:ilvl="0" w:tplc="0C0A000F">
      <w:start w:val="1"/>
      <w:numFmt w:val="decimal"/>
      <w:lvlText w:val="%1."/>
      <w:lvlJc w:val="left"/>
      <w:pPr>
        <w:ind w:left="360" w:hanging="360"/>
      </w:pPr>
    </w:lvl>
    <w:lvl w:ilvl="1" w:tplc="0C0A0019" w:tentative="1">
      <w:start w:val="1"/>
      <w:numFmt w:val="lowerLetter"/>
      <w:lvlText w:val="%2."/>
      <w:lvlJc w:val="left"/>
      <w:pPr>
        <w:ind w:left="1080" w:hanging="360"/>
      </w:pPr>
    </w:lvl>
    <w:lvl w:ilvl="2" w:tplc="0C0A001B" w:tentative="1">
      <w:start w:val="1"/>
      <w:numFmt w:val="lowerRoman"/>
      <w:lvlText w:val="%3."/>
      <w:lvlJc w:val="right"/>
      <w:pPr>
        <w:ind w:left="1800" w:hanging="180"/>
      </w:pPr>
    </w:lvl>
    <w:lvl w:ilvl="3" w:tplc="0C0A000F" w:tentative="1">
      <w:start w:val="1"/>
      <w:numFmt w:val="decimal"/>
      <w:lvlText w:val="%4."/>
      <w:lvlJc w:val="left"/>
      <w:pPr>
        <w:ind w:left="2520" w:hanging="360"/>
      </w:pPr>
    </w:lvl>
    <w:lvl w:ilvl="4" w:tplc="0C0A0019" w:tentative="1">
      <w:start w:val="1"/>
      <w:numFmt w:val="lowerLetter"/>
      <w:lvlText w:val="%5."/>
      <w:lvlJc w:val="left"/>
      <w:pPr>
        <w:ind w:left="3240" w:hanging="360"/>
      </w:pPr>
    </w:lvl>
    <w:lvl w:ilvl="5" w:tplc="0C0A001B" w:tentative="1">
      <w:start w:val="1"/>
      <w:numFmt w:val="lowerRoman"/>
      <w:lvlText w:val="%6."/>
      <w:lvlJc w:val="right"/>
      <w:pPr>
        <w:ind w:left="3960" w:hanging="180"/>
      </w:pPr>
    </w:lvl>
    <w:lvl w:ilvl="6" w:tplc="0C0A000F" w:tentative="1">
      <w:start w:val="1"/>
      <w:numFmt w:val="decimal"/>
      <w:lvlText w:val="%7."/>
      <w:lvlJc w:val="left"/>
      <w:pPr>
        <w:ind w:left="4680" w:hanging="360"/>
      </w:pPr>
    </w:lvl>
    <w:lvl w:ilvl="7" w:tplc="0C0A0019" w:tentative="1">
      <w:start w:val="1"/>
      <w:numFmt w:val="lowerLetter"/>
      <w:lvlText w:val="%8."/>
      <w:lvlJc w:val="left"/>
      <w:pPr>
        <w:ind w:left="5400" w:hanging="360"/>
      </w:pPr>
    </w:lvl>
    <w:lvl w:ilvl="8" w:tplc="0C0A001B" w:tentative="1">
      <w:start w:val="1"/>
      <w:numFmt w:val="lowerRoman"/>
      <w:lvlText w:val="%9."/>
      <w:lvlJc w:val="right"/>
      <w:pPr>
        <w:ind w:left="6120" w:hanging="180"/>
      </w:pPr>
    </w:lvl>
  </w:abstractNum>
  <w:abstractNum w:abstractNumId="3" w15:restartNumberingAfterBreak="0">
    <w:nsid w:val="0A73219B"/>
    <w:multiLevelType w:val="hybridMultilevel"/>
    <w:tmpl w:val="F090467C"/>
    <w:lvl w:ilvl="0" w:tplc="040A000F">
      <w:start w:val="1"/>
      <w:numFmt w:val="decimal"/>
      <w:lvlText w:val="%1."/>
      <w:lvlJc w:val="left"/>
      <w:pPr>
        <w:ind w:left="720" w:hanging="360"/>
      </w:pPr>
    </w:lvl>
    <w:lvl w:ilvl="1" w:tplc="040A0019" w:tentative="1">
      <w:start w:val="1"/>
      <w:numFmt w:val="lowerLetter"/>
      <w:lvlText w:val="%2."/>
      <w:lvlJc w:val="left"/>
      <w:pPr>
        <w:ind w:left="1440" w:hanging="360"/>
      </w:pPr>
    </w:lvl>
    <w:lvl w:ilvl="2" w:tplc="040A001B" w:tentative="1">
      <w:start w:val="1"/>
      <w:numFmt w:val="lowerRoman"/>
      <w:lvlText w:val="%3."/>
      <w:lvlJc w:val="right"/>
      <w:pPr>
        <w:ind w:left="2160" w:hanging="180"/>
      </w:pPr>
    </w:lvl>
    <w:lvl w:ilvl="3" w:tplc="040A000F" w:tentative="1">
      <w:start w:val="1"/>
      <w:numFmt w:val="decimal"/>
      <w:lvlText w:val="%4."/>
      <w:lvlJc w:val="left"/>
      <w:pPr>
        <w:ind w:left="2880" w:hanging="360"/>
      </w:pPr>
    </w:lvl>
    <w:lvl w:ilvl="4" w:tplc="040A0019" w:tentative="1">
      <w:start w:val="1"/>
      <w:numFmt w:val="lowerLetter"/>
      <w:lvlText w:val="%5."/>
      <w:lvlJc w:val="left"/>
      <w:pPr>
        <w:ind w:left="3600" w:hanging="360"/>
      </w:pPr>
    </w:lvl>
    <w:lvl w:ilvl="5" w:tplc="040A001B" w:tentative="1">
      <w:start w:val="1"/>
      <w:numFmt w:val="lowerRoman"/>
      <w:lvlText w:val="%6."/>
      <w:lvlJc w:val="right"/>
      <w:pPr>
        <w:ind w:left="4320" w:hanging="180"/>
      </w:pPr>
    </w:lvl>
    <w:lvl w:ilvl="6" w:tplc="040A000F" w:tentative="1">
      <w:start w:val="1"/>
      <w:numFmt w:val="decimal"/>
      <w:lvlText w:val="%7."/>
      <w:lvlJc w:val="left"/>
      <w:pPr>
        <w:ind w:left="5040" w:hanging="360"/>
      </w:pPr>
    </w:lvl>
    <w:lvl w:ilvl="7" w:tplc="040A0019" w:tentative="1">
      <w:start w:val="1"/>
      <w:numFmt w:val="lowerLetter"/>
      <w:lvlText w:val="%8."/>
      <w:lvlJc w:val="left"/>
      <w:pPr>
        <w:ind w:left="5760" w:hanging="360"/>
      </w:pPr>
    </w:lvl>
    <w:lvl w:ilvl="8" w:tplc="040A001B" w:tentative="1">
      <w:start w:val="1"/>
      <w:numFmt w:val="lowerRoman"/>
      <w:lvlText w:val="%9."/>
      <w:lvlJc w:val="right"/>
      <w:pPr>
        <w:ind w:left="6480" w:hanging="180"/>
      </w:pPr>
    </w:lvl>
  </w:abstractNum>
  <w:abstractNum w:abstractNumId="4" w15:restartNumberingAfterBreak="0">
    <w:nsid w:val="0CB7785E"/>
    <w:multiLevelType w:val="multilevel"/>
    <w:tmpl w:val="FBE075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D174EA8"/>
    <w:multiLevelType w:val="hybridMultilevel"/>
    <w:tmpl w:val="53ECF5E4"/>
    <w:lvl w:ilvl="0" w:tplc="0C0A000F">
      <w:start w:val="1"/>
      <w:numFmt w:val="decimal"/>
      <w:lvlText w:val="%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6" w15:restartNumberingAfterBreak="0">
    <w:nsid w:val="0F7B05C6"/>
    <w:multiLevelType w:val="multilevel"/>
    <w:tmpl w:val="55503F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FB1362F"/>
    <w:multiLevelType w:val="multilevel"/>
    <w:tmpl w:val="BBA647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0B92A45"/>
    <w:multiLevelType w:val="multilevel"/>
    <w:tmpl w:val="A15497F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10BE6C8A"/>
    <w:multiLevelType w:val="multilevel"/>
    <w:tmpl w:val="63DEB4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55A5291"/>
    <w:multiLevelType w:val="hybridMultilevel"/>
    <w:tmpl w:val="B84AA6AA"/>
    <w:lvl w:ilvl="0" w:tplc="040A000F">
      <w:start w:val="1"/>
      <w:numFmt w:val="decimal"/>
      <w:lvlText w:val="%1."/>
      <w:lvlJc w:val="left"/>
      <w:pPr>
        <w:ind w:left="1080" w:hanging="360"/>
      </w:pPr>
    </w:lvl>
    <w:lvl w:ilvl="1" w:tplc="040A0019" w:tentative="1">
      <w:start w:val="1"/>
      <w:numFmt w:val="lowerLetter"/>
      <w:lvlText w:val="%2."/>
      <w:lvlJc w:val="left"/>
      <w:pPr>
        <w:ind w:left="1800" w:hanging="360"/>
      </w:pPr>
    </w:lvl>
    <w:lvl w:ilvl="2" w:tplc="040A001B" w:tentative="1">
      <w:start w:val="1"/>
      <w:numFmt w:val="lowerRoman"/>
      <w:lvlText w:val="%3."/>
      <w:lvlJc w:val="right"/>
      <w:pPr>
        <w:ind w:left="2520" w:hanging="180"/>
      </w:pPr>
    </w:lvl>
    <w:lvl w:ilvl="3" w:tplc="040A000F" w:tentative="1">
      <w:start w:val="1"/>
      <w:numFmt w:val="decimal"/>
      <w:lvlText w:val="%4."/>
      <w:lvlJc w:val="left"/>
      <w:pPr>
        <w:ind w:left="3240" w:hanging="360"/>
      </w:pPr>
    </w:lvl>
    <w:lvl w:ilvl="4" w:tplc="040A0019" w:tentative="1">
      <w:start w:val="1"/>
      <w:numFmt w:val="lowerLetter"/>
      <w:lvlText w:val="%5."/>
      <w:lvlJc w:val="left"/>
      <w:pPr>
        <w:ind w:left="3960" w:hanging="360"/>
      </w:pPr>
    </w:lvl>
    <w:lvl w:ilvl="5" w:tplc="040A001B" w:tentative="1">
      <w:start w:val="1"/>
      <w:numFmt w:val="lowerRoman"/>
      <w:lvlText w:val="%6."/>
      <w:lvlJc w:val="right"/>
      <w:pPr>
        <w:ind w:left="4680" w:hanging="180"/>
      </w:pPr>
    </w:lvl>
    <w:lvl w:ilvl="6" w:tplc="040A000F" w:tentative="1">
      <w:start w:val="1"/>
      <w:numFmt w:val="decimal"/>
      <w:lvlText w:val="%7."/>
      <w:lvlJc w:val="left"/>
      <w:pPr>
        <w:ind w:left="5400" w:hanging="360"/>
      </w:pPr>
    </w:lvl>
    <w:lvl w:ilvl="7" w:tplc="040A0019" w:tentative="1">
      <w:start w:val="1"/>
      <w:numFmt w:val="lowerLetter"/>
      <w:lvlText w:val="%8."/>
      <w:lvlJc w:val="left"/>
      <w:pPr>
        <w:ind w:left="6120" w:hanging="360"/>
      </w:pPr>
    </w:lvl>
    <w:lvl w:ilvl="8" w:tplc="040A001B" w:tentative="1">
      <w:start w:val="1"/>
      <w:numFmt w:val="lowerRoman"/>
      <w:lvlText w:val="%9."/>
      <w:lvlJc w:val="right"/>
      <w:pPr>
        <w:ind w:left="6840" w:hanging="180"/>
      </w:pPr>
    </w:lvl>
  </w:abstractNum>
  <w:abstractNum w:abstractNumId="11" w15:restartNumberingAfterBreak="0">
    <w:nsid w:val="16487988"/>
    <w:multiLevelType w:val="multilevel"/>
    <w:tmpl w:val="77F207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D9876B9"/>
    <w:multiLevelType w:val="multilevel"/>
    <w:tmpl w:val="BD60BE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0C1540D"/>
    <w:multiLevelType w:val="multilevel"/>
    <w:tmpl w:val="990875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11430D1"/>
    <w:multiLevelType w:val="multilevel"/>
    <w:tmpl w:val="FDFA0B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1765328"/>
    <w:multiLevelType w:val="hybridMultilevel"/>
    <w:tmpl w:val="C4B2932E"/>
    <w:lvl w:ilvl="0" w:tplc="040A0001">
      <w:start w:val="1"/>
      <w:numFmt w:val="bullet"/>
      <w:lvlText w:val=""/>
      <w:lvlJc w:val="left"/>
      <w:pPr>
        <w:ind w:left="720" w:hanging="360"/>
      </w:pPr>
      <w:rPr>
        <w:rFonts w:ascii="Symbol" w:hAnsi="Symbol"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6" w15:restartNumberingAfterBreak="0">
    <w:nsid w:val="22E15604"/>
    <w:multiLevelType w:val="multilevel"/>
    <w:tmpl w:val="43FC994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26166231"/>
    <w:multiLevelType w:val="multilevel"/>
    <w:tmpl w:val="6CA0BE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261F2720"/>
    <w:multiLevelType w:val="multilevel"/>
    <w:tmpl w:val="4B9E57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26553B3A"/>
    <w:multiLevelType w:val="multilevel"/>
    <w:tmpl w:val="DCEABD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2D8C7DCD"/>
    <w:multiLevelType w:val="hybridMultilevel"/>
    <w:tmpl w:val="0330A4BC"/>
    <w:lvl w:ilvl="0" w:tplc="040A0001">
      <w:start w:val="1"/>
      <w:numFmt w:val="bullet"/>
      <w:lvlText w:val=""/>
      <w:lvlJc w:val="left"/>
      <w:pPr>
        <w:ind w:left="720" w:hanging="360"/>
      </w:pPr>
      <w:rPr>
        <w:rFonts w:ascii="Symbol" w:hAnsi="Symbol" w:hint="default"/>
      </w:rPr>
    </w:lvl>
    <w:lvl w:ilvl="1" w:tplc="040A0003" w:tentative="1">
      <w:start w:val="1"/>
      <w:numFmt w:val="bullet"/>
      <w:lvlText w:val="o"/>
      <w:lvlJc w:val="left"/>
      <w:pPr>
        <w:ind w:left="1440" w:hanging="360"/>
      </w:pPr>
      <w:rPr>
        <w:rFonts w:ascii="Courier New" w:hAnsi="Courier New" w:cs="Courier New" w:hint="default"/>
      </w:rPr>
    </w:lvl>
    <w:lvl w:ilvl="2" w:tplc="040A0005" w:tentative="1">
      <w:start w:val="1"/>
      <w:numFmt w:val="bullet"/>
      <w:lvlText w:val=""/>
      <w:lvlJc w:val="left"/>
      <w:pPr>
        <w:ind w:left="2160" w:hanging="360"/>
      </w:pPr>
      <w:rPr>
        <w:rFonts w:ascii="Wingdings" w:hAnsi="Wingdings" w:hint="default"/>
      </w:rPr>
    </w:lvl>
    <w:lvl w:ilvl="3" w:tplc="040A0001" w:tentative="1">
      <w:start w:val="1"/>
      <w:numFmt w:val="bullet"/>
      <w:lvlText w:val=""/>
      <w:lvlJc w:val="left"/>
      <w:pPr>
        <w:ind w:left="2880" w:hanging="360"/>
      </w:pPr>
      <w:rPr>
        <w:rFonts w:ascii="Symbol" w:hAnsi="Symbol" w:hint="default"/>
      </w:rPr>
    </w:lvl>
    <w:lvl w:ilvl="4" w:tplc="040A0003" w:tentative="1">
      <w:start w:val="1"/>
      <w:numFmt w:val="bullet"/>
      <w:lvlText w:val="o"/>
      <w:lvlJc w:val="left"/>
      <w:pPr>
        <w:ind w:left="3600" w:hanging="360"/>
      </w:pPr>
      <w:rPr>
        <w:rFonts w:ascii="Courier New" w:hAnsi="Courier New" w:cs="Courier New" w:hint="default"/>
      </w:rPr>
    </w:lvl>
    <w:lvl w:ilvl="5" w:tplc="040A0005" w:tentative="1">
      <w:start w:val="1"/>
      <w:numFmt w:val="bullet"/>
      <w:lvlText w:val=""/>
      <w:lvlJc w:val="left"/>
      <w:pPr>
        <w:ind w:left="4320" w:hanging="360"/>
      </w:pPr>
      <w:rPr>
        <w:rFonts w:ascii="Wingdings" w:hAnsi="Wingdings" w:hint="default"/>
      </w:rPr>
    </w:lvl>
    <w:lvl w:ilvl="6" w:tplc="040A0001" w:tentative="1">
      <w:start w:val="1"/>
      <w:numFmt w:val="bullet"/>
      <w:lvlText w:val=""/>
      <w:lvlJc w:val="left"/>
      <w:pPr>
        <w:ind w:left="5040" w:hanging="360"/>
      </w:pPr>
      <w:rPr>
        <w:rFonts w:ascii="Symbol" w:hAnsi="Symbol" w:hint="default"/>
      </w:rPr>
    </w:lvl>
    <w:lvl w:ilvl="7" w:tplc="040A0003" w:tentative="1">
      <w:start w:val="1"/>
      <w:numFmt w:val="bullet"/>
      <w:lvlText w:val="o"/>
      <w:lvlJc w:val="left"/>
      <w:pPr>
        <w:ind w:left="5760" w:hanging="360"/>
      </w:pPr>
      <w:rPr>
        <w:rFonts w:ascii="Courier New" w:hAnsi="Courier New" w:cs="Courier New" w:hint="default"/>
      </w:rPr>
    </w:lvl>
    <w:lvl w:ilvl="8" w:tplc="040A0005" w:tentative="1">
      <w:start w:val="1"/>
      <w:numFmt w:val="bullet"/>
      <w:lvlText w:val=""/>
      <w:lvlJc w:val="left"/>
      <w:pPr>
        <w:ind w:left="6480" w:hanging="360"/>
      </w:pPr>
      <w:rPr>
        <w:rFonts w:ascii="Wingdings" w:hAnsi="Wingdings" w:hint="default"/>
      </w:rPr>
    </w:lvl>
  </w:abstractNum>
  <w:abstractNum w:abstractNumId="21" w15:restartNumberingAfterBreak="0">
    <w:nsid w:val="2EA817E9"/>
    <w:multiLevelType w:val="multilevel"/>
    <w:tmpl w:val="E76CDE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30A60969"/>
    <w:multiLevelType w:val="multilevel"/>
    <w:tmpl w:val="4DDEA9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30C76C6B"/>
    <w:multiLevelType w:val="multilevel"/>
    <w:tmpl w:val="1AF8F47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38606EEA"/>
    <w:multiLevelType w:val="multilevel"/>
    <w:tmpl w:val="8FF4FA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3FF02DCC"/>
    <w:multiLevelType w:val="multilevel"/>
    <w:tmpl w:val="6568BA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40583ABC"/>
    <w:multiLevelType w:val="multilevel"/>
    <w:tmpl w:val="19C84E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40EC6B4F"/>
    <w:multiLevelType w:val="hybridMultilevel"/>
    <w:tmpl w:val="100CF718"/>
    <w:lvl w:ilvl="0" w:tplc="040A000F">
      <w:start w:val="1"/>
      <w:numFmt w:val="decimal"/>
      <w:lvlText w:val="%1."/>
      <w:lvlJc w:val="left"/>
      <w:pPr>
        <w:ind w:left="1080" w:hanging="360"/>
      </w:pPr>
    </w:lvl>
    <w:lvl w:ilvl="1" w:tplc="040A0019" w:tentative="1">
      <w:start w:val="1"/>
      <w:numFmt w:val="lowerLetter"/>
      <w:lvlText w:val="%2."/>
      <w:lvlJc w:val="left"/>
      <w:pPr>
        <w:ind w:left="1800" w:hanging="360"/>
      </w:pPr>
    </w:lvl>
    <w:lvl w:ilvl="2" w:tplc="040A001B" w:tentative="1">
      <w:start w:val="1"/>
      <w:numFmt w:val="lowerRoman"/>
      <w:lvlText w:val="%3."/>
      <w:lvlJc w:val="right"/>
      <w:pPr>
        <w:ind w:left="2520" w:hanging="180"/>
      </w:pPr>
    </w:lvl>
    <w:lvl w:ilvl="3" w:tplc="040A000F" w:tentative="1">
      <w:start w:val="1"/>
      <w:numFmt w:val="decimal"/>
      <w:lvlText w:val="%4."/>
      <w:lvlJc w:val="left"/>
      <w:pPr>
        <w:ind w:left="3240" w:hanging="360"/>
      </w:pPr>
    </w:lvl>
    <w:lvl w:ilvl="4" w:tplc="040A0019" w:tentative="1">
      <w:start w:val="1"/>
      <w:numFmt w:val="lowerLetter"/>
      <w:lvlText w:val="%5."/>
      <w:lvlJc w:val="left"/>
      <w:pPr>
        <w:ind w:left="3960" w:hanging="360"/>
      </w:pPr>
    </w:lvl>
    <w:lvl w:ilvl="5" w:tplc="040A001B" w:tentative="1">
      <w:start w:val="1"/>
      <w:numFmt w:val="lowerRoman"/>
      <w:lvlText w:val="%6."/>
      <w:lvlJc w:val="right"/>
      <w:pPr>
        <w:ind w:left="4680" w:hanging="180"/>
      </w:pPr>
    </w:lvl>
    <w:lvl w:ilvl="6" w:tplc="040A000F" w:tentative="1">
      <w:start w:val="1"/>
      <w:numFmt w:val="decimal"/>
      <w:lvlText w:val="%7."/>
      <w:lvlJc w:val="left"/>
      <w:pPr>
        <w:ind w:left="5400" w:hanging="360"/>
      </w:pPr>
    </w:lvl>
    <w:lvl w:ilvl="7" w:tplc="040A0019" w:tentative="1">
      <w:start w:val="1"/>
      <w:numFmt w:val="lowerLetter"/>
      <w:lvlText w:val="%8."/>
      <w:lvlJc w:val="left"/>
      <w:pPr>
        <w:ind w:left="6120" w:hanging="360"/>
      </w:pPr>
    </w:lvl>
    <w:lvl w:ilvl="8" w:tplc="040A001B" w:tentative="1">
      <w:start w:val="1"/>
      <w:numFmt w:val="lowerRoman"/>
      <w:lvlText w:val="%9."/>
      <w:lvlJc w:val="right"/>
      <w:pPr>
        <w:ind w:left="6840" w:hanging="180"/>
      </w:pPr>
    </w:lvl>
  </w:abstractNum>
  <w:abstractNum w:abstractNumId="28" w15:restartNumberingAfterBreak="0">
    <w:nsid w:val="43F00012"/>
    <w:multiLevelType w:val="hybridMultilevel"/>
    <w:tmpl w:val="B8D429AC"/>
    <w:lvl w:ilvl="0" w:tplc="040A0001">
      <w:start w:val="1"/>
      <w:numFmt w:val="bullet"/>
      <w:lvlText w:val=""/>
      <w:lvlJc w:val="left"/>
      <w:pPr>
        <w:ind w:left="720" w:hanging="360"/>
      </w:pPr>
      <w:rPr>
        <w:rFonts w:ascii="Symbol" w:hAnsi="Symbol" w:hint="default"/>
      </w:rPr>
    </w:lvl>
    <w:lvl w:ilvl="1" w:tplc="040A0003" w:tentative="1">
      <w:start w:val="1"/>
      <w:numFmt w:val="bullet"/>
      <w:lvlText w:val="o"/>
      <w:lvlJc w:val="left"/>
      <w:pPr>
        <w:ind w:left="1440" w:hanging="360"/>
      </w:pPr>
      <w:rPr>
        <w:rFonts w:ascii="Courier New" w:hAnsi="Courier New" w:cs="Courier New" w:hint="default"/>
      </w:rPr>
    </w:lvl>
    <w:lvl w:ilvl="2" w:tplc="040A0005" w:tentative="1">
      <w:start w:val="1"/>
      <w:numFmt w:val="bullet"/>
      <w:lvlText w:val=""/>
      <w:lvlJc w:val="left"/>
      <w:pPr>
        <w:ind w:left="2160" w:hanging="360"/>
      </w:pPr>
      <w:rPr>
        <w:rFonts w:ascii="Wingdings" w:hAnsi="Wingdings" w:hint="default"/>
      </w:rPr>
    </w:lvl>
    <w:lvl w:ilvl="3" w:tplc="040A0001" w:tentative="1">
      <w:start w:val="1"/>
      <w:numFmt w:val="bullet"/>
      <w:lvlText w:val=""/>
      <w:lvlJc w:val="left"/>
      <w:pPr>
        <w:ind w:left="2880" w:hanging="360"/>
      </w:pPr>
      <w:rPr>
        <w:rFonts w:ascii="Symbol" w:hAnsi="Symbol" w:hint="default"/>
      </w:rPr>
    </w:lvl>
    <w:lvl w:ilvl="4" w:tplc="040A0003" w:tentative="1">
      <w:start w:val="1"/>
      <w:numFmt w:val="bullet"/>
      <w:lvlText w:val="o"/>
      <w:lvlJc w:val="left"/>
      <w:pPr>
        <w:ind w:left="3600" w:hanging="360"/>
      </w:pPr>
      <w:rPr>
        <w:rFonts w:ascii="Courier New" w:hAnsi="Courier New" w:cs="Courier New" w:hint="default"/>
      </w:rPr>
    </w:lvl>
    <w:lvl w:ilvl="5" w:tplc="040A0005" w:tentative="1">
      <w:start w:val="1"/>
      <w:numFmt w:val="bullet"/>
      <w:lvlText w:val=""/>
      <w:lvlJc w:val="left"/>
      <w:pPr>
        <w:ind w:left="4320" w:hanging="360"/>
      </w:pPr>
      <w:rPr>
        <w:rFonts w:ascii="Wingdings" w:hAnsi="Wingdings" w:hint="default"/>
      </w:rPr>
    </w:lvl>
    <w:lvl w:ilvl="6" w:tplc="040A0001" w:tentative="1">
      <w:start w:val="1"/>
      <w:numFmt w:val="bullet"/>
      <w:lvlText w:val=""/>
      <w:lvlJc w:val="left"/>
      <w:pPr>
        <w:ind w:left="5040" w:hanging="360"/>
      </w:pPr>
      <w:rPr>
        <w:rFonts w:ascii="Symbol" w:hAnsi="Symbol" w:hint="default"/>
      </w:rPr>
    </w:lvl>
    <w:lvl w:ilvl="7" w:tplc="040A0003" w:tentative="1">
      <w:start w:val="1"/>
      <w:numFmt w:val="bullet"/>
      <w:lvlText w:val="o"/>
      <w:lvlJc w:val="left"/>
      <w:pPr>
        <w:ind w:left="5760" w:hanging="360"/>
      </w:pPr>
      <w:rPr>
        <w:rFonts w:ascii="Courier New" w:hAnsi="Courier New" w:cs="Courier New" w:hint="default"/>
      </w:rPr>
    </w:lvl>
    <w:lvl w:ilvl="8" w:tplc="040A0005" w:tentative="1">
      <w:start w:val="1"/>
      <w:numFmt w:val="bullet"/>
      <w:lvlText w:val=""/>
      <w:lvlJc w:val="left"/>
      <w:pPr>
        <w:ind w:left="6480" w:hanging="360"/>
      </w:pPr>
      <w:rPr>
        <w:rFonts w:ascii="Wingdings" w:hAnsi="Wingdings" w:hint="default"/>
      </w:rPr>
    </w:lvl>
  </w:abstractNum>
  <w:abstractNum w:abstractNumId="29" w15:restartNumberingAfterBreak="0">
    <w:nsid w:val="43F424B0"/>
    <w:multiLevelType w:val="hybridMultilevel"/>
    <w:tmpl w:val="CFEAC66C"/>
    <w:lvl w:ilvl="0" w:tplc="040A0001">
      <w:start w:val="1"/>
      <w:numFmt w:val="bullet"/>
      <w:lvlText w:val=""/>
      <w:lvlJc w:val="left"/>
      <w:pPr>
        <w:ind w:left="720" w:hanging="360"/>
      </w:pPr>
      <w:rPr>
        <w:rFonts w:ascii="Symbol" w:hAnsi="Symbol" w:hint="default"/>
      </w:rPr>
    </w:lvl>
    <w:lvl w:ilvl="1" w:tplc="040A0003" w:tentative="1">
      <w:start w:val="1"/>
      <w:numFmt w:val="bullet"/>
      <w:lvlText w:val="o"/>
      <w:lvlJc w:val="left"/>
      <w:pPr>
        <w:ind w:left="1440" w:hanging="360"/>
      </w:pPr>
      <w:rPr>
        <w:rFonts w:ascii="Courier New" w:hAnsi="Courier New" w:cs="Courier New" w:hint="default"/>
      </w:rPr>
    </w:lvl>
    <w:lvl w:ilvl="2" w:tplc="040A0005" w:tentative="1">
      <w:start w:val="1"/>
      <w:numFmt w:val="bullet"/>
      <w:lvlText w:val=""/>
      <w:lvlJc w:val="left"/>
      <w:pPr>
        <w:ind w:left="2160" w:hanging="360"/>
      </w:pPr>
      <w:rPr>
        <w:rFonts w:ascii="Wingdings" w:hAnsi="Wingdings" w:hint="default"/>
      </w:rPr>
    </w:lvl>
    <w:lvl w:ilvl="3" w:tplc="040A0001" w:tentative="1">
      <w:start w:val="1"/>
      <w:numFmt w:val="bullet"/>
      <w:lvlText w:val=""/>
      <w:lvlJc w:val="left"/>
      <w:pPr>
        <w:ind w:left="2880" w:hanging="360"/>
      </w:pPr>
      <w:rPr>
        <w:rFonts w:ascii="Symbol" w:hAnsi="Symbol" w:hint="default"/>
      </w:rPr>
    </w:lvl>
    <w:lvl w:ilvl="4" w:tplc="040A0003" w:tentative="1">
      <w:start w:val="1"/>
      <w:numFmt w:val="bullet"/>
      <w:lvlText w:val="o"/>
      <w:lvlJc w:val="left"/>
      <w:pPr>
        <w:ind w:left="3600" w:hanging="360"/>
      </w:pPr>
      <w:rPr>
        <w:rFonts w:ascii="Courier New" w:hAnsi="Courier New" w:cs="Courier New" w:hint="default"/>
      </w:rPr>
    </w:lvl>
    <w:lvl w:ilvl="5" w:tplc="040A0005" w:tentative="1">
      <w:start w:val="1"/>
      <w:numFmt w:val="bullet"/>
      <w:lvlText w:val=""/>
      <w:lvlJc w:val="left"/>
      <w:pPr>
        <w:ind w:left="4320" w:hanging="360"/>
      </w:pPr>
      <w:rPr>
        <w:rFonts w:ascii="Wingdings" w:hAnsi="Wingdings" w:hint="default"/>
      </w:rPr>
    </w:lvl>
    <w:lvl w:ilvl="6" w:tplc="040A0001" w:tentative="1">
      <w:start w:val="1"/>
      <w:numFmt w:val="bullet"/>
      <w:lvlText w:val=""/>
      <w:lvlJc w:val="left"/>
      <w:pPr>
        <w:ind w:left="5040" w:hanging="360"/>
      </w:pPr>
      <w:rPr>
        <w:rFonts w:ascii="Symbol" w:hAnsi="Symbol" w:hint="default"/>
      </w:rPr>
    </w:lvl>
    <w:lvl w:ilvl="7" w:tplc="040A0003" w:tentative="1">
      <w:start w:val="1"/>
      <w:numFmt w:val="bullet"/>
      <w:lvlText w:val="o"/>
      <w:lvlJc w:val="left"/>
      <w:pPr>
        <w:ind w:left="5760" w:hanging="360"/>
      </w:pPr>
      <w:rPr>
        <w:rFonts w:ascii="Courier New" w:hAnsi="Courier New" w:cs="Courier New" w:hint="default"/>
      </w:rPr>
    </w:lvl>
    <w:lvl w:ilvl="8" w:tplc="040A0005" w:tentative="1">
      <w:start w:val="1"/>
      <w:numFmt w:val="bullet"/>
      <w:lvlText w:val=""/>
      <w:lvlJc w:val="left"/>
      <w:pPr>
        <w:ind w:left="6480" w:hanging="360"/>
      </w:pPr>
      <w:rPr>
        <w:rFonts w:ascii="Wingdings" w:hAnsi="Wingdings" w:hint="default"/>
      </w:rPr>
    </w:lvl>
  </w:abstractNum>
  <w:abstractNum w:abstractNumId="30" w15:restartNumberingAfterBreak="0">
    <w:nsid w:val="441D4E24"/>
    <w:multiLevelType w:val="multilevel"/>
    <w:tmpl w:val="F3603B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449C663A"/>
    <w:multiLevelType w:val="multilevel"/>
    <w:tmpl w:val="1BB2F2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48540580"/>
    <w:multiLevelType w:val="hybridMultilevel"/>
    <w:tmpl w:val="074A0B76"/>
    <w:lvl w:ilvl="0" w:tplc="040A0001">
      <w:start w:val="1"/>
      <w:numFmt w:val="bullet"/>
      <w:lvlText w:val=""/>
      <w:lvlJc w:val="left"/>
      <w:pPr>
        <w:ind w:left="720" w:hanging="360"/>
      </w:pPr>
      <w:rPr>
        <w:rFonts w:ascii="Symbol" w:hAnsi="Symbol"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3" w15:restartNumberingAfterBreak="0">
    <w:nsid w:val="48F9444E"/>
    <w:multiLevelType w:val="multilevel"/>
    <w:tmpl w:val="5574BE9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4" w15:restartNumberingAfterBreak="0">
    <w:nsid w:val="4A351294"/>
    <w:multiLevelType w:val="multilevel"/>
    <w:tmpl w:val="DC984B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4BB47D72"/>
    <w:multiLevelType w:val="multilevel"/>
    <w:tmpl w:val="A8C290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55F4458C"/>
    <w:multiLevelType w:val="multilevel"/>
    <w:tmpl w:val="A24E3B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58586924"/>
    <w:multiLevelType w:val="multilevel"/>
    <w:tmpl w:val="D27203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5A7B5CBE"/>
    <w:multiLevelType w:val="multilevel"/>
    <w:tmpl w:val="8034EF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611B03B1"/>
    <w:multiLevelType w:val="multilevel"/>
    <w:tmpl w:val="8D9629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625E0876"/>
    <w:multiLevelType w:val="multilevel"/>
    <w:tmpl w:val="82067E7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1" w15:restartNumberingAfterBreak="0">
    <w:nsid w:val="65F81A8D"/>
    <w:multiLevelType w:val="multilevel"/>
    <w:tmpl w:val="ABB6D9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6631357A"/>
    <w:multiLevelType w:val="multilevel"/>
    <w:tmpl w:val="8C9E0A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66AB7F59"/>
    <w:multiLevelType w:val="hybridMultilevel"/>
    <w:tmpl w:val="0046F6BE"/>
    <w:lvl w:ilvl="0" w:tplc="040A0001">
      <w:start w:val="1"/>
      <w:numFmt w:val="bullet"/>
      <w:lvlText w:val=""/>
      <w:lvlJc w:val="left"/>
      <w:pPr>
        <w:ind w:left="720" w:hanging="360"/>
      </w:pPr>
      <w:rPr>
        <w:rFonts w:ascii="Symbol" w:hAnsi="Symbol" w:hint="default"/>
      </w:rPr>
    </w:lvl>
    <w:lvl w:ilvl="1" w:tplc="040A0003" w:tentative="1">
      <w:start w:val="1"/>
      <w:numFmt w:val="bullet"/>
      <w:lvlText w:val="o"/>
      <w:lvlJc w:val="left"/>
      <w:pPr>
        <w:ind w:left="1440" w:hanging="360"/>
      </w:pPr>
      <w:rPr>
        <w:rFonts w:ascii="Courier New" w:hAnsi="Courier New" w:cs="Courier New" w:hint="default"/>
      </w:rPr>
    </w:lvl>
    <w:lvl w:ilvl="2" w:tplc="040A0005" w:tentative="1">
      <w:start w:val="1"/>
      <w:numFmt w:val="bullet"/>
      <w:lvlText w:val=""/>
      <w:lvlJc w:val="left"/>
      <w:pPr>
        <w:ind w:left="2160" w:hanging="360"/>
      </w:pPr>
      <w:rPr>
        <w:rFonts w:ascii="Wingdings" w:hAnsi="Wingdings" w:hint="default"/>
      </w:rPr>
    </w:lvl>
    <w:lvl w:ilvl="3" w:tplc="040A0001" w:tentative="1">
      <w:start w:val="1"/>
      <w:numFmt w:val="bullet"/>
      <w:lvlText w:val=""/>
      <w:lvlJc w:val="left"/>
      <w:pPr>
        <w:ind w:left="2880" w:hanging="360"/>
      </w:pPr>
      <w:rPr>
        <w:rFonts w:ascii="Symbol" w:hAnsi="Symbol" w:hint="default"/>
      </w:rPr>
    </w:lvl>
    <w:lvl w:ilvl="4" w:tplc="040A0003" w:tentative="1">
      <w:start w:val="1"/>
      <w:numFmt w:val="bullet"/>
      <w:lvlText w:val="o"/>
      <w:lvlJc w:val="left"/>
      <w:pPr>
        <w:ind w:left="3600" w:hanging="360"/>
      </w:pPr>
      <w:rPr>
        <w:rFonts w:ascii="Courier New" w:hAnsi="Courier New" w:cs="Courier New" w:hint="default"/>
      </w:rPr>
    </w:lvl>
    <w:lvl w:ilvl="5" w:tplc="040A0005" w:tentative="1">
      <w:start w:val="1"/>
      <w:numFmt w:val="bullet"/>
      <w:lvlText w:val=""/>
      <w:lvlJc w:val="left"/>
      <w:pPr>
        <w:ind w:left="4320" w:hanging="360"/>
      </w:pPr>
      <w:rPr>
        <w:rFonts w:ascii="Wingdings" w:hAnsi="Wingdings" w:hint="default"/>
      </w:rPr>
    </w:lvl>
    <w:lvl w:ilvl="6" w:tplc="040A0001" w:tentative="1">
      <w:start w:val="1"/>
      <w:numFmt w:val="bullet"/>
      <w:lvlText w:val=""/>
      <w:lvlJc w:val="left"/>
      <w:pPr>
        <w:ind w:left="5040" w:hanging="360"/>
      </w:pPr>
      <w:rPr>
        <w:rFonts w:ascii="Symbol" w:hAnsi="Symbol" w:hint="default"/>
      </w:rPr>
    </w:lvl>
    <w:lvl w:ilvl="7" w:tplc="040A0003" w:tentative="1">
      <w:start w:val="1"/>
      <w:numFmt w:val="bullet"/>
      <w:lvlText w:val="o"/>
      <w:lvlJc w:val="left"/>
      <w:pPr>
        <w:ind w:left="5760" w:hanging="360"/>
      </w:pPr>
      <w:rPr>
        <w:rFonts w:ascii="Courier New" w:hAnsi="Courier New" w:cs="Courier New" w:hint="default"/>
      </w:rPr>
    </w:lvl>
    <w:lvl w:ilvl="8" w:tplc="040A0005" w:tentative="1">
      <w:start w:val="1"/>
      <w:numFmt w:val="bullet"/>
      <w:lvlText w:val=""/>
      <w:lvlJc w:val="left"/>
      <w:pPr>
        <w:ind w:left="6480" w:hanging="360"/>
      </w:pPr>
      <w:rPr>
        <w:rFonts w:ascii="Wingdings" w:hAnsi="Wingdings" w:hint="default"/>
      </w:rPr>
    </w:lvl>
  </w:abstractNum>
  <w:abstractNum w:abstractNumId="44" w15:restartNumberingAfterBreak="0">
    <w:nsid w:val="673F2AFD"/>
    <w:multiLevelType w:val="multilevel"/>
    <w:tmpl w:val="E77896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69AF1BD2"/>
    <w:multiLevelType w:val="multilevel"/>
    <w:tmpl w:val="19CADA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6D540D41"/>
    <w:multiLevelType w:val="multilevel"/>
    <w:tmpl w:val="683645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6E602AE6"/>
    <w:multiLevelType w:val="multilevel"/>
    <w:tmpl w:val="E82C63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734604DD"/>
    <w:multiLevelType w:val="hybridMultilevel"/>
    <w:tmpl w:val="61EE3E24"/>
    <w:lvl w:ilvl="0" w:tplc="040A000F">
      <w:start w:val="1"/>
      <w:numFmt w:val="decimal"/>
      <w:lvlText w:val="%1."/>
      <w:lvlJc w:val="left"/>
      <w:pPr>
        <w:ind w:left="720" w:hanging="360"/>
      </w:pPr>
    </w:lvl>
    <w:lvl w:ilvl="1" w:tplc="040A0019" w:tentative="1">
      <w:start w:val="1"/>
      <w:numFmt w:val="lowerLetter"/>
      <w:lvlText w:val="%2."/>
      <w:lvlJc w:val="left"/>
      <w:pPr>
        <w:ind w:left="1440" w:hanging="360"/>
      </w:pPr>
    </w:lvl>
    <w:lvl w:ilvl="2" w:tplc="040A001B" w:tentative="1">
      <w:start w:val="1"/>
      <w:numFmt w:val="lowerRoman"/>
      <w:lvlText w:val="%3."/>
      <w:lvlJc w:val="right"/>
      <w:pPr>
        <w:ind w:left="2160" w:hanging="180"/>
      </w:pPr>
    </w:lvl>
    <w:lvl w:ilvl="3" w:tplc="040A000F" w:tentative="1">
      <w:start w:val="1"/>
      <w:numFmt w:val="decimal"/>
      <w:lvlText w:val="%4."/>
      <w:lvlJc w:val="left"/>
      <w:pPr>
        <w:ind w:left="2880" w:hanging="360"/>
      </w:pPr>
    </w:lvl>
    <w:lvl w:ilvl="4" w:tplc="040A0019" w:tentative="1">
      <w:start w:val="1"/>
      <w:numFmt w:val="lowerLetter"/>
      <w:lvlText w:val="%5."/>
      <w:lvlJc w:val="left"/>
      <w:pPr>
        <w:ind w:left="3600" w:hanging="360"/>
      </w:pPr>
    </w:lvl>
    <w:lvl w:ilvl="5" w:tplc="040A001B" w:tentative="1">
      <w:start w:val="1"/>
      <w:numFmt w:val="lowerRoman"/>
      <w:lvlText w:val="%6."/>
      <w:lvlJc w:val="right"/>
      <w:pPr>
        <w:ind w:left="4320" w:hanging="180"/>
      </w:pPr>
    </w:lvl>
    <w:lvl w:ilvl="6" w:tplc="040A000F" w:tentative="1">
      <w:start w:val="1"/>
      <w:numFmt w:val="decimal"/>
      <w:lvlText w:val="%7."/>
      <w:lvlJc w:val="left"/>
      <w:pPr>
        <w:ind w:left="5040" w:hanging="360"/>
      </w:pPr>
    </w:lvl>
    <w:lvl w:ilvl="7" w:tplc="040A0019" w:tentative="1">
      <w:start w:val="1"/>
      <w:numFmt w:val="lowerLetter"/>
      <w:lvlText w:val="%8."/>
      <w:lvlJc w:val="left"/>
      <w:pPr>
        <w:ind w:left="5760" w:hanging="360"/>
      </w:pPr>
    </w:lvl>
    <w:lvl w:ilvl="8" w:tplc="040A001B" w:tentative="1">
      <w:start w:val="1"/>
      <w:numFmt w:val="lowerRoman"/>
      <w:lvlText w:val="%9."/>
      <w:lvlJc w:val="right"/>
      <w:pPr>
        <w:ind w:left="6480" w:hanging="180"/>
      </w:pPr>
    </w:lvl>
  </w:abstractNum>
  <w:abstractNum w:abstractNumId="49" w15:restartNumberingAfterBreak="0">
    <w:nsid w:val="73A43B9A"/>
    <w:multiLevelType w:val="multilevel"/>
    <w:tmpl w:val="62108C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75F74694"/>
    <w:multiLevelType w:val="multilevel"/>
    <w:tmpl w:val="D39A46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78633F9C"/>
    <w:multiLevelType w:val="multilevel"/>
    <w:tmpl w:val="233E6C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7BCA4F0E"/>
    <w:multiLevelType w:val="hybridMultilevel"/>
    <w:tmpl w:val="FB96591A"/>
    <w:lvl w:ilvl="0" w:tplc="040A0001">
      <w:start w:val="1"/>
      <w:numFmt w:val="bullet"/>
      <w:lvlText w:val=""/>
      <w:lvlJc w:val="left"/>
      <w:pPr>
        <w:ind w:left="720" w:hanging="360"/>
      </w:pPr>
      <w:rPr>
        <w:rFonts w:ascii="Symbol" w:hAnsi="Symbol" w:hint="default"/>
      </w:rPr>
    </w:lvl>
    <w:lvl w:ilvl="1" w:tplc="040A0003" w:tentative="1">
      <w:start w:val="1"/>
      <w:numFmt w:val="bullet"/>
      <w:lvlText w:val="o"/>
      <w:lvlJc w:val="left"/>
      <w:pPr>
        <w:ind w:left="1440" w:hanging="360"/>
      </w:pPr>
      <w:rPr>
        <w:rFonts w:ascii="Courier New" w:hAnsi="Courier New" w:cs="Courier New" w:hint="default"/>
      </w:rPr>
    </w:lvl>
    <w:lvl w:ilvl="2" w:tplc="040A0005" w:tentative="1">
      <w:start w:val="1"/>
      <w:numFmt w:val="bullet"/>
      <w:lvlText w:val=""/>
      <w:lvlJc w:val="left"/>
      <w:pPr>
        <w:ind w:left="2160" w:hanging="360"/>
      </w:pPr>
      <w:rPr>
        <w:rFonts w:ascii="Wingdings" w:hAnsi="Wingdings" w:hint="default"/>
      </w:rPr>
    </w:lvl>
    <w:lvl w:ilvl="3" w:tplc="040A0001" w:tentative="1">
      <w:start w:val="1"/>
      <w:numFmt w:val="bullet"/>
      <w:lvlText w:val=""/>
      <w:lvlJc w:val="left"/>
      <w:pPr>
        <w:ind w:left="2880" w:hanging="360"/>
      </w:pPr>
      <w:rPr>
        <w:rFonts w:ascii="Symbol" w:hAnsi="Symbol" w:hint="default"/>
      </w:rPr>
    </w:lvl>
    <w:lvl w:ilvl="4" w:tplc="040A0003" w:tentative="1">
      <w:start w:val="1"/>
      <w:numFmt w:val="bullet"/>
      <w:lvlText w:val="o"/>
      <w:lvlJc w:val="left"/>
      <w:pPr>
        <w:ind w:left="3600" w:hanging="360"/>
      </w:pPr>
      <w:rPr>
        <w:rFonts w:ascii="Courier New" w:hAnsi="Courier New" w:cs="Courier New" w:hint="default"/>
      </w:rPr>
    </w:lvl>
    <w:lvl w:ilvl="5" w:tplc="040A0005" w:tentative="1">
      <w:start w:val="1"/>
      <w:numFmt w:val="bullet"/>
      <w:lvlText w:val=""/>
      <w:lvlJc w:val="left"/>
      <w:pPr>
        <w:ind w:left="4320" w:hanging="360"/>
      </w:pPr>
      <w:rPr>
        <w:rFonts w:ascii="Wingdings" w:hAnsi="Wingdings" w:hint="default"/>
      </w:rPr>
    </w:lvl>
    <w:lvl w:ilvl="6" w:tplc="040A0001" w:tentative="1">
      <w:start w:val="1"/>
      <w:numFmt w:val="bullet"/>
      <w:lvlText w:val=""/>
      <w:lvlJc w:val="left"/>
      <w:pPr>
        <w:ind w:left="5040" w:hanging="360"/>
      </w:pPr>
      <w:rPr>
        <w:rFonts w:ascii="Symbol" w:hAnsi="Symbol" w:hint="default"/>
      </w:rPr>
    </w:lvl>
    <w:lvl w:ilvl="7" w:tplc="040A0003" w:tentative="1">
      <w:start w:val="1"/>
      <w:numFmt w:val="bullet"/>
      <w:lvlText w:val="o"/>
      <w:lvlJc w:val="left"/>
      <w:pPr>
        <w:ind w:left="5760" w:hanging="360"/>
      </w:pPr>
      <w:rPr>
        <w:rFonts w:ascii="Courier New" w:hAnsi="Courier New" w:cs="Courier New" w:hint="default"/>
      </w:rPr>
    </w:lvl>
    <w:lvl w:ilvl="8" w:tplc="040A0005" w:tentative="1">
      <w:start w:val="1"/>
      <w:numFmt w:val="bullet"/>
      <w:lvlText w:val=""/>
      <w:lvlJc w:val="left"/>
      <w:pPr>
        <w:ind w:left="6480" w:hanging="360"/>
      </w:pPr>
      <w:rPr>
        <w:rFonts w:ascii="Wingdings" w:hAnsi="Wingdings" w:hint="default"/>
      </w:rPr>
    </w:lvl>
  </w:abstractNum>
  <w:abstractNum w:abstractNumId="53" w15:restartNumberingAfterBreak="0">
    <w:nsid w:val="7D4F1F07"/>
    <w:multiLevelType w:val="multilevel"/>
    <w:tmpl w:val="2368AA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7FDA11AB"/>
    <w:multiLevelType w:val="multilevel"/>
    <w:tmpl w:val="0E704D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460995872">
    <w:abstractNumId w:val="31"/>
  </w:num>
  <w:num w:numId="2" w16cid:durableId="1314137022">
    <w:abstractNumId w:val="5"/>
  </w:num>
  <w:num w:numId="3" w16cid:durableId="1871146706">
    <w:abstractNumId w:val="12"/>
  </w:num>
  <w:num w:numId="4" w16cid:durableId="94984933">
    <w:abstractNumId w:val="11"/>
  </w:num>
  <w:num w:numId="5" w16cid:durableId="1194880145">
    <w:abstractNumId w:val="36"/>
  </w:num>
  <w:num w:numId="6" w16cid:durableId="522091804">
    <w:abstractNumId w:val="51"/>
  </w:num>
  <w:num w:numId="7" w16cid:durableId="2139176820">
    <w:abstractNumId w:val="2"/>
  </w:num>
  <w:num w:numId="8" w16cid:durableId="1722828372">
    <w:abstractNumId w:val="53"/>
  </w:num>
  <w:num w:numId="9" w16cid:durableId="1605259459">
    <w:abstractNumId w:val="38"/>
  </w:num>
  <w:num w:numId="10" w16cid:durableId="540437845">
    <w:abstractNumId w:val="37"/>
  </w:num>
  <w:num w:numId="11" w16cid:durableId="415444705">
    <w:abstractNumId w:val="17"/>
  </w:num>
  <w:num w:numId="12" w16cid:durableId="1130173302">
    <w:abstractNumId w:val="19"/>
  </w:num>
  <w:num w:numId="13" w16cid:durableId="2011248892">
    <w:abstractNumId w:val="47"/>
  </w:num>
  <w:num w:numId="14" w16cid:durableId="194120307">
    <w:abstractNumId w:val="50"/>
  </w:num>
  <w:num w:numId="15" w16cid:durableId="645861413">
    <w:abstractNumId w:val="26"/>
  </w:num>
  <w:num w:numId="16" w16cid:durableId="152305872">
    <w:abstractNumId w:val="54"/>
  </w:num>
  <w:num w:numId="17" w16cid:durableId="254285364">
    <w:abstractNumId w:val="41"/>
  </w:num>
  <w:num w:numId="18" w16cid:durableId="1421291727">
    <w:abstractNumId w:val="9"/>
  </w:num>
  <w:num w:numId="19" w16cid:durableId="1986350817">
    <w:abstractNumId w:val="29"/>
  </w:num>
  <w:num w:numId="20" w16cid:durableId="676031908">
    <w:abstractNumId w:val="45"/>
  </w:num>
  <w:num w:numId="21" w16cid:durableId="856188710">
    <w:abstractNumId w:val="49"/>
  </w:num>
  <w:num w:numId="22" w16cid:durableId="951596212">
    <w:abstractNumId w:val="22"/>
  </w:num>
  <w:num w:numId="23" w16cid:durableId="1711806751">
    <w:abstractNumId w:val="30"/>
  </w:num>
  <w:num w:numId="24" w16cid:durableId="1486818743">
    <w:abstractNumId w:val="25"/>
  </w:num>
  <w:num w:numId="25" w16cid:durableId="279727034">
    <w:abstractNumId w:val="43"/>
  </w:num>
  <w:num w:numId="26" w16cid:durableId="889729073">
    <w:abstractNumId w:val="3"/>
  </w:num>
  <w:num w:numId="27" w16cid:durableId="593592213">
    <w:abstractNumId w:val="32"/>
  </w:num>
  <w:num w:numId="28" w16cid:durableId="859777749">
    <w:abstractNumId w:val="8"/>
  </w:num>
  <w:num w:numId="29" w16cid:durableId="333069258">
    <w:abstractNumId w:val="40"/>
  </w:num>
  <w:num w:numId="30" w16cid:durableId="1086340570">
    <w:abstractNumId w:val="13"/>
  </w:num>
  <w:num w:numId="31" w16cid:durableId="1768817087">
    <w:abstractNumId w:val="4"/>
  </w:num>
  <w:num w:numId="32" w16cid:durableId="742532853">
    <w:abstractNumId w:val="44"/>
  </w:num>
  <w:num w:numId="33" w16cid:durableId="1987734739">
    <w:abstractNumId w:val="1"/>
  </w:num>
  <w:num w:numId="34" w16cid:durableId="1125849739">
    <w:abstractNumId w:val="16"/>
  </w:num>
  <w:num w:numId="35" w16cid:durableId="862865258">
    <w:abstractNumId w:val="33"/>
  </w:num>
  <w:num w:numId="36" w16cid:durableId="408962622">
    <w:abstractNumId w:val="7"/>
  </w:num>
  <w:num w:numId="37" w16cid:durableId="1242256236">
    <w:abstractNumId w:val="21"/>
  </w:num>
  <w:num w:numId="38" w16cid:durableId="877545266">
    <w:abstractNumId w:val="42"/>
  </w:num>
  <w:num w:numId="39" w16cid:durableId="1456942805">
    <w:abstractNumId w:val="24"/>
  </w:num>
  <w:num w:numId="40" w16cid:durableId="1660424549">
    <w:abstractNumId w:val="6"/>
  </w:num>
  <w:num w:numId="41" w16cid:durableId="1771316918">
    <w:abstractNumId w:val="27"/>
  </w:num>
  <w:num w:numId="42" w16cid:durableId="2004426947">
    <w:abstractNumId w:val="10"/>
  </w:num>
  <w:num w:numId="43" w16cid:durableId="1089931746">
    <w:abstractNumId w:val="28"/>
  </w:num>
  <w:num w:numId="44" w16cid:durableId="599144844">
    <w:abstractNumId w:val="52"/>
  </w:num>
  <w:num w:numId="45" w16cid:durableId="106630534">
    <w:abstractNumId w:val="48"/>
  </w:num>
  <w:num w:numId="46" w16cid:durableId="2095742774">
    <w:abstractNumId w:val="15"/>
  </w:num>
  <w:num w:numId="47" w16cid:durableId="1153060289">
    <w:abstractNumId w:val="20"/>
  </w:num>
  <w:num w:numId="48" w16cid:durableId="2018264877">
    <w:abstractNumId w:val="0"/>
  </w:num>
  <w:num w:numId="49" w16cid:durableId="1830711743">
    <w:abstractNumId w:val="35"/>
  </w:num>
  <w:num w:numId="50" w16cid:durableId="1548645244">
    <w:abstractNumId w:val="23"/>
  </w:num>
  <w:num w:numId="51" w16cid:durableId="956178089">
    <w:abstractNumId w:val="39"/>
  </w:num>
  <w:num w:numId="52" w16cid:durableId="1956404170">
    <w:abstractNumId w:val="14"/>
  </w:num>
  <w:num w:numId="53" w16cid:durableId="2084640038">
    <w:abstractNumId w:val="34"/>
  </w:num>
  <w:num w:numId="54" w16cid:durableId="1652950305">
    <w:abstractNumId w:val="46"/>
  </w:num>
  <w:num w:numId="55" w16cid:durableId="533156875">
    <w:abstractNumId w:val="1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defaultTabStop w:val="720"/>
  <w:hyphenationZone w:val="425"/>
  <w:characterSpacingControl w:val="doNotCompress"/>
  <w:hdrShapeDefaults>
    <o:shapedefaults v:ext="edit" spidmax="2050"/>
  </w:hdrShapeDefaults>
  <w:footnotePr>
    <w:footnote w:id="-1"/>
    <w:footnote w:id="0"/>
    <w:footnote w:id="1"/>
  </w:footnotePr>
  <w:endnotePr>
    <w:endnote w:id="-1"/>
    <w:endnote w:id="0"/>
    <w:endnote w:id="1"/>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E30A7"/>
    <w:rsid w:val="00012789"/>
    <w:rsid w:val="000463E6"/>
    <w:rsid w:val="00047042"/>
    <w:rsid w:val="00047E92"/>
    <w:rsid w:val="00056038"/>
    <w:rsid w:val="00070E9D"/>
    <w:rsid w:val="00096924"/>
    <w:rsid w:val="000A0E4B"/>
    <w:rsid w:val="000B5AF1"/>
    <w:rsid w:val="000D169F"/>
    <w:rsid w:val="000E2901"/>
    <w:rsid w:val="00106762"/>
    <w:rsid w:val="001241A5"/>
    <w:rsid w:val="00145B2A"/>
    <w:rsid w:val="00155109"/>
    <w:rsid w:val="00161FD2"/>
    <w:rsid w:val="00183DA4"/>
    <w:rsid w:val="0018473C"/>
    <w:rsid w:val="001A264A"/>
    <w:rsid w:val="001A7924"/>
    <w:rsid w:val="001B3913"/>
    <w:rsid w:val="001B3A47"/>
    <w:rsid w:val="001C4045"/>
    <w:rsid w:val="001C49E4"/>
    <w:rsid w:val="001D7AAF"/>
    <w:rsid w:val="001F6EE8"/>
    <w:rsid w:val="00201ED9"/>
    <w:rsid w:val="00221C63"/>
    <w:rsid w:val="00232C33"/>
    <w:rsid w:val="00246375"/>
    <w:rsid w:val="0025629D"/>
    <w:rsid w:val="00266CD9"/>
    <w:rsid w:val="002727EA"/>
    <w:rsid w:val="002746F3"/>
    <w:rsid w:val="00282B41"/>
    <w:rsid w:val="002846B2"/>
    <w:rsid w:val="00295E78"/>
    <w:rsid w:val="002B7EDF"/>
    <w:rsid w:val="002E1469"/>
    <w:rsid w:val="002F18DA"/>
    <w:rsid w:val="00310D34"/>
    <w:rsid w:val="003179EB"/>
    <w:rsid w:val="00321AD2"/>
    <w:rsid w:val="00323CEE"/>
    <w:rsid w:val="0034443D"/>
    <w:rsid w:val="00346F3A"/>
    <w:rsid w:val="003602F8"/>
    <w:rsid w:val="00364DDE"/>
    <w:rsid w:val="00376936"/>
    <w:rsid w:val="00382A82"/>
    <w:rsid w:val="00394EBD"/>
    <w:rsid w:val="003A309D"/>
    <w:rsid w:val="003D304B"/>
    <w:rsid w:val="003F04FE"/>
    <w:rsid w:val="003F2711"/>
    <w:rsid w:val="003F47F4"/>
    <w:rsid w:val="004038F8"/>
    <w:rsid w:val="00412D98"/>
    <w:rsid w:val="0042181D"/>
    <w:rsid w:val="00426A0D"/>
    <w:rsid w:val="004338EB"/>
    <w:rsid w:val="00444CFC"/>
    <w:rsid w:val="00445FED"/>
    <w:rsid w:val="004706D5"/>
    <w:rsid w:val="00482DD6"/>
    <w:rsid w:val="004901EA"/>
    <w:rsid w:val="004914AF"/>
    <w:rsid w:val="004B58A8"/>
    <w:rsid w:val="004C3E25"/>
    <w:rsid w:val="00503598"/>
    <w:rsid w:val="005177B1"/>
    <w:rsid w:val="00525C53"/>
    <w:rsid w:val="00547C13"/>
    <w:rsid w:val="0059121B"/>
    <w:rsid w:val="005C019D"/>
    <w:rsid w:val="005C49A3"/>
    <w:rsid w:val="00603B4F"/>
    <w:rsid w:val="00606E74"/>
    <w:rsid w:val="00611A5D"/>
    <w:rsid w:val="0063414B"/>
    <w:rsid w:val="0065191B"/>
    <w:rsid w:val="00660F97"/>
    <w:rsid w:val="00661334"/>
    <w:rsid w:val="00672995"/>
    <w:rsid w:val="00680F9B"/>
    <w:rsid w:val="00694381"/>
    <w:rsid w:val="006977AB"/>
    <w:rsid w:val="006B5DD5"/>
    <w:rsid w:val="006C3F61"/>
    <w:rsid w:val="006C60CA"/>
    <w:rsid w:val="006D7DCB"/>
    <w:rsid w:val="006F0629"/>
    <w:rsid w:val="006F3994"/>
    <w:rsid w:val="006F7F3C"/>
    <w:rsid w:val="00746F0D"/>
    <w:rsid w:val="00771FD7"/>
    <w:rsid w:val="007A608C"/>
    <w:rsid w:val="007C6CF1"/>
    <w:rsid w:val="007D657C"/>
    <w:rsid w:val="0081325A"/>
    <w:rsid w:val="00823E84"/>
    <w:rsid w:val="008246D7"/>
    <w:rsid w:val="00837501"/>
    <w:rsid w:val="00862681"/>
    <w:rsid w:val="008775DD"/>
    <w:rsid w:val="00886F7A"/>
    <w:rsid w:val="008A5A0C"/>
    <w:rsid w:val="008B4A5D"/>
    <w:rsid w:val="008B6731"/>
    <w:rsid w:val="00944097"/>
    <w:rsid w:val="00975003"/>
    <w:rsid w:val="00976C6C"/>
    <w:rsid w:val="0098374E"/>
    <w:rsid w:val="00986E0B"/>
    <w:rsid w:val="009A70E6"/>
    <w:rsid w:val="009E3C73"/>
    <w:rsid w:val="00A46A5C"/>
    <w:rsid w:val="00A52317"/>
    <w:rsid w:val="00A704FA"/>
    <w:rsid w:val="00A76BA3"/>
    <w:rsid w:val="00A812E8"/>
    <w:rsid w:val="00A86973"/>
    <w:rsid w:val="00AC39F4"/>
    <w:rsid w:val="00AD79D9"/>
    <w:rsid w:val="00AE1250"/>
    <w:rsid w:val="00AE62B6"/>
    <w:rsid w:val="00B025F7"/>
    <w:rsid w:val="00B06672"/>
    <w:rsid w:val="00B173E4"/>
    <w:rsid w:val="00B24E54"/>
    <w:rsid w:val="00B338EB"/>
    <w:rsid w:val="00B40B08"/>
    <w:rsid w:val="00B63A0F"/>
    <w:rsid w:val="00B6638D"/>
    <w:rsid w:val="00B67C53"/>
    <w:rsid w:val="00B70BE3"/>
    <w:rsid w:val="00B75EB9"/>
    <w:rsid w:val="00B77751"/>
    <w:rsid w:val="00B90E87"/>
    <w:rsid w:val="00BB220F"/>
    <w:rsid w:val="00BB3C82"/>
    <w:rsid w:val="00BB5B6A"/>
    <w:rsid w:val="00BB7D0E"/>
    <w:rsid w:val="00BC2FA1"/>
    <w:rsid w:val="00BD32F7"/>
    <w:rsid w:val="00BD43F3"/>
    <w:rsid w:val="00BD6D12"/>
    <w:rsid w:val="00BE6A92"/>
    <w:rsid w:val="00BF040D"/>
    <w:rsid w:val="00BF2C26"/>
    <w:rsid w:val="00C00E21"/>
    <w:rsid w:val="00C03443"/>
    <w:rsid w:val="00C43D00"/>
    <w:rsid w:val="00C521CA"/>
    <w:rsid w:val="00C6288D"/>
    <w:rsid w:val="00C6394D"/>
    <w:rsid w:val="00C6579B"/>
    <w:rsid w:val="00C72089"/>
    <w:rsid w:val="00C84AFE"/>
    <w:rsid w:val="00C910A0"/>
    <w:rsid w:val="00C911DB"/>
    <w:rsid w:val="00CA0290"/>
    <w:rsid w:val="00CF1473"/>
    <w:rsid w:val="00D14C40"/>
    <w:rsid w:val="00D311E4"/>
    <w:rsid w:val="00D522F1"/>
    <w:rsid w:val="00D543FB"/>
    <w:rsid w:val="00D70F1F"/>
    <w:rsid w:val="00D74325"/>
    <w:rsid w:val="00DB0B22"/>
    <w:rsid w:val="00DE63A0"/>
    <w:rsid w:val="00DF4B65"/>
    <w:rsid w:val="00E45BAF"/>
    <w:rsid w:val="00E53E18"/>
    <w:rsid w:val="00E70226"/>
    <w:rsid w:val="00E87F5D"/>
    <w:rsid w:val="00E91A65"/>
    <w:rsid w:val="00E932FC"/>
    <w:rsid w:val="00E96D3C"/>
    <w:rsid w:val="00E97AF8"/>
    <w:rsid w:val="00EC11F8"/>
    <w:rsid w:val="00F01C72"/>
    <w:rsid w:val="00F07365"/>
    <w:rsid w:val="00F209FC"/>
    <w:rsid w:val="00F20ACF"/>
    <w:rsid w:val="00F25F6A"/>
    <w:rsid w:val="00F62A2C"/>
    <w:rsid w:val="00F725C3"/>
    <w:rsid w:val="00F7291D"/>
    <w:rsid w:val="00F82F6A"/>
    <w:rsid w:val="00FB3FA9"/>
    <w:rsid w:val="00FC1E85"/>
    <w:rsid w:val="00FD31CC"/>
    <w:rsid w:val="00FE30A7"/>
    <w:rsid w:val="00FF15A6"/>
    <w:rsid w:val="3C4DC7BF"/>
    <w:rsid w:val="521261D8"/>
  </w:rsids>
  <m:mathPr>
    <m:mathFont m:val="Cambria Math"/>
    <m:brkBin m:val="before"/>
    <m:brkBinSub m:val="--"/>
    <m:smallFrac m:val="0"/>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AA7BAC9"/>
  <w15:chartTrackingRefBased/>
  <w15:docId w15:val="{D7AB61B9-7ED7-474D-B7A0-108B6759EFA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lang w:val="en-US" w:eastAsia="zh-CN" w:bidi="ar-SA"/>
      </w:rPr>
    </w:rPrDefault>
    <w:pPrDefault>
      <w:pPr>
        <w:spacing w:after="120" w:line="264"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iPriority="6" w:unhideWhenUsed="1"/>
    <w:lsdException w:name="Signature" w:semiHidden="1" w:uiPriority="7"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iPriority="4"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8473C"/>
    <w:rPr>
      <w:rFonts w:ascii="Times New Roman" w:hAnsi="Times New Roman"/>
      <w:sz w:val="24"/>
      <w:lang w:val="es-ES_tradnl"/>
    </w:rPr>
  </w:style>
  <w:style w:type="paragraph" w:styleId="Heading1">
    <w:name w:val="heading 1"/>
    <w:basedOn w:val="Normal"/>
    <w:next w:val="Normal"/>
    <w:link w:val="Heading1Char"/>
    <w:uiPriority w:val="9"/>
    <w:qFormat/>
    <w:rsid w:val="00A704FA"/>
    <w:pPr>
      <w:keepNext/>
      <w:keepLines/>
      <w:spacing w:before="440" w:line="240" w:lineRule="auto"/>
      <w:outlineLvl w:val="0"/>
    </w:pPr>
    <w:rPr>
      <w:rFonts w:asciiTheme="majorHAnsi" w:eastAsiaTheme="majorEastAsia" w:hAnsiTheme="majorHAnsi" w:cstheme="majorBidi"/>
      <w:b/>
      <w:color w:val="339966"/>
      <w:sz w:val="32"/>
      <w:szCs w:val="32"/>
    </w:rPr>
  </w:style>
  <w:style w:type="paragraph" w:styleId="Heading2">
    <w:name w:val="heading 2"/>
    <w:basedOn w:val="Normal"/>
    <w:next w:val="Normal"/>
    <w:link w:val="Heading2Char"/>
    <w:uiPriority w:val="9"/>
    <w:unhideWhenUsed/>
    <w:qFormat/>
    <w:rsid w:val="00B40B08"/>
    <w:pPr>
      <w:keepNext/>
      <w:keepLines/>
      <w:spacing w:before="200" w:line="240" w:lineRule="auto"/>
      <w:outlineLvl w:val="1"/>
    </w:pPr>
    <w:rPr>
      <w:rFonts w:asciiTheme="majorHAnsi" w:eastAsiaTheme="majorEastAsia" w:hAnsiTheme="majorHAnsi" w:cstheme="majorBidi"/>
      <w:b/>
      <w:color w:val="404040" w:themeColor="text1" w:themeTint="BF"/>
      <w:sz w:val="28"/>
      <w:szCs w:val="28"/>
    </w:rPr>
  </w:style>
  <w:style w:type="paragraph" w:styleId="Heading3">
    <w:name w:val="heading 3"/>
    <w:basedOn w:val="Normal"/>
    <w:next w:val="Normal"/>
    <w:link w:val="Heading3Char"/>
    <w:uiPriority w:val="9"/>
    <w:unhideWhenUsed/>
    <w:qFormat/>
    <w:rsid w:val="00B40B08"/>
    <w:pPr>
      <w:keepNext/>
      <w:keepLines/>
      <w:spacing w:before="160" w:line="240" w:lineRule="auto"/>
      <w:outlineLvl w:val="2"/>
    </w:pPr>
    <w:rPr>
      <w:rFonts w:asciiTheme="majorHAnsi" w:eastAsiaTheme="majorEastAsia" w:hAnsiTheme="majorHAnsi" w:cstheme="majorBidi"/>
      <w:b/>
      <w:color w:val="455F51" w:themeColor="text2"/>
      <w:szCs w:val="24"/>
    </w:rPr>
  </w:style>
  <w:style w:type="paragraph" w:styleId="Heading4">
    <w:name w:val="heading 4"/>
    <w:basedOn w:val="Normal"/>
    <w:next w:val="Normal"/>
    <w:link w:val="Heading4Char"/>
    <w:uiPriority w:val="9"/>
    <w:unhideWhenUsed/>
    <w:qFormat/>
    <w:rsid w:val="00B40B08"/>
    <w:pPr>
      <w:keepNext/>
      <w:keepLines/>
      <w:spacing w:before="160"/>
      <w:outlineLvl w:val="3"/>
    </w:pPr>
    <w:rPr>
      <w:rFonts w:asciiTheme="majorHAnsi" w:eastAsiaTheme="majorEastAsia" w:hAnsiTheme="majorHAnsi" w:cstheme="majorBidi"/>
      <w:sz w:val="22"/>
      <w:szCs w:val="22"/>
    </w:rPr>
  </w:style>
  <w:style w:type="paragraph" w:styleId="Heading5">
    <w:name w:val="heading 5"/>
    <w:basedOn w:val="Normal"/>
    <w:next w:val="Normal"/>
    <w:link w:val="Heading5Char"/>
    <w:uiPriority w:val="9"/>
    <w:semiHidden/>
    <w:unhideWhenUsed/>
    <w:qFormat/>
    <w:rsid w:val="00E932FC"/>
    <w:pPr>
      <w:keepNext/>
      <w:keepLines/>
      <w:spacing w:before="40" w:after="0"/>
      <w:outlineLvl w:val="4"/>
    </w:pPr>
    <w:rPr>
      <w:rFonts w:asciiTheme="majorHAnsi" w:eastAsiaTheme="majorEastAsia" w:hAnsiTheme="majorHAnsi" w:cstheme="majorBidi"/>
      <w:color w:val="455F51" w:themeColor="text2"/>
      <w:sz w:val="22"/>
      <w:szCs w:val="22"/>
    </w:rPr>
  </w:style>
  <w:style w:type="paragraph" w:styleId="Heading6">
    <w:name w:val="heading 6"/>
    <w:basedOn w:val="Normal"/>
    <w:next w:val="Normal"/>
    <w:link w:val="Heading6Char"/>
    <w:uiPriority w:val="9"/>
    <w:semiHidden/>
    <w:unhideWhenUsed/>
    <w:qFormat/>
    <w:rsid w:val="00E932FC"/>
    <w:pPr>
      <w:keepNext/>
      <w:keepLines/>
      <w:spacing w:before="40" w:after="0"/>
      <w:outlineLvl w:val="5"/>
    </w:pPr>
    <w:rPr>
      <w:rFonts w:asciiTheme="majorHAnsi" w:eastAsiaTheme="majorEastAsia" w:hAnsiTheme="majorHAnsi" w:cstheme="majorBidi"/>
      <w:i/>
      <w:iCs/>
      <w:color w:val="455F51" w:themeColor="text2"/>
      <w:sz w:val="21"/>
      <w:szCs w:val="21"/>
    </w:rPr>
  </w:style>
  <w:style w:type="paragraph" w:styleId="Heading7">
    <w:name w:val="heading 7"/>
    <w:basedOn w:val="Normal"/>
    <w:next w:val="Normal"/>
    <w:link w:val="Heading7Char"/>
    <w:uiPriority w:val="9"/>
    <w:semiHidden/>
    <w:unhideWhenUsed/>
    <w:qFormat/>
    <w:rsid w:val="00E932FC"/>
    <w:pPr>
      <w:keepNext/>
      <w:keepLines/>
      <w:spacing w:before="40" w:after="0"/>
      <w:outlineLvl w:val="6"/>
    </w:pPr>
    <w:rPr>
      <w:rFonts w:asciiTheme="majorHAnsi" w:eastAsiaTheme="majorEastAsia" w:hAnsiTheme="majorHAnsi" w:cstheme="majorBidi"/>
      <w:i/>
      <w:iCs/>
      <w:color w:val="2A4F1C" w:themeColor="accent1" w:themeShade="80"/>
      <w:sz w:val="21"/>
      <w:szCs w:val="21"/>
    </w:rPr>
  </w:style>
  <w:style w:type="paragraph" w:styleId="Heading8">
    <w:name w:val="heading 8"/>
    <w:basedOn w:val="Normal"/>
    <w:next w:val="Normal"/>
    <w:link w:val="Heading8Char"/>
    <w:uiPriority w:val="9"/>
    <w:semiHidden/>
    <w:unhideWhenUsed/>
    <w:qFormat/>
    <w:rsid w:val="00E932FC"/>
    <w:pPr>
      <w:keepNext/>
      <w:keepLines/>
      <w:spacing w:before="40" w:after="0"/>
      <w:outlineLvl w:val="7"/>
    </w:pPr>
    <w:rPr>
      <w:rFonts w:asciiTheme="majorHAnsi" w:eastAsiaTheme="majorEastAsia" w:hAnsiTheme="majorHAnsi" w:cstheme="majorBidi"/>
      <w:b/>
      <w:bCs/>
      <w:color w:val="455F51" w:themeColor="text2"/>
    </w:rPr>
  </w:style>
  <w:style w:type="paragraph" w:styleId="Heading9">
    <w:name w:val="heading 9"/>
    <w:basedOn w:val="Normal"/>
    <w:next w:val="Normal"/>
    <w:link w:val="Heading9Char"/>
    <w:uiPriority w:val="9"/>
    <w:semiHidden/>
    <w:unhideWhenUsed/>
    <w:qFormat/>
    <w:rsid w:val="00E932FC"/>
    <w:pPr>
      <w:keepNext/>
      <w:keepLines/>
      <w:spacing w:before="40" w:after="0"/>
      <w:outlineLvl w:val="8"/>
    </w:pPr>
    <w:rPr>
      <w:rFonts w:asciiTheme="majorHAnsi" w:eastAsiaTheme="majorEastAsia" w:hAnsiTheme="majorHAnsi" w:cstheme="majorBidi"/>
      <w:b/>
      <w:bCs/>
      <w:i/>
      <w:iCs/>
      <w:color w:val="455F51" w:themeColor="text2"/>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704FA"/>
    <w:rPr>
      <w:rFonts w:asciiTheme="majorHAnsi" w:eastAsiaTheme="majorEastAsia" w:hAnsiTheme="majorHAnsi" w:cstheme="majorBidi"/>
      <w:b/>
      <w:color w:val="339966"/>
      <w:sz w:val="32"/>
      <w:szCs w:val="32"/>
    </w:rPr>
  </w:style>
  <w:style w:type="character" w:customStyle="1" w:styleId="Heading2Char">
    <w:name w:val="Heading 2 Char"/>
    <w:basedOn w:val="DefaultParagraphFont"/>
    <w:link w:val="Heading2"/>
    <w:uiPriority w:val="9"/>
    <w:rsid w:val="00B40B08"/>
    <w:rPr>
      <w:rFonts w:asciiTheme="majorHAnsi" w:eastAsiaTheme="majorEastAsia" w:hAnsiTheme="majorHAnsi" w:cstheme="majorBidi"/>
      <w:b/>
      <w:color w:val="404040" w:themeColor="text1" w:themeTint="BF"/>
      <w:sz w:val="28"/>
      <w:szCs w:val="28"/>
    </w:rPr>
  </w:style>
  <w:style w:type="character" w:customStyle="1" w:styleId="Heading3Char">
    <w:name w:val="Heading 3 Char"/>
    <w:basedOn w:val="DefaultParagraphFont"/>
    <w:link w:val="Heading3"/>
    <w:uiPriority w:val="9"/>
    <w:rsid w:val="00B40B08"/>
    <w:rPr>
      <w:rFonts w:asciiTheme="majorHAnsi" w:eastAsiaTheme="majorEastAsia" w:hAnsiTheme="majorHAnsi" w:cstheme="majorBidi"/>
      <w:b/>
      <w:color w:val="455F51" w:themeColor="text2"/>
      <w:sz w:val="24"/>
      <w:szCs w:val="24"/>
    </w:rPr>
  </w:style>
  <w:style w:type="character" w:customStyle="1" w:styleId="Heading4Char">
    <w:name w:val="Heading 4 Char"/>
    <w:basedOn w:val="DefaultParagraphFont"/>
    <w:link w:val="Heading4"/>
    <w:uiPriority w:val="9"/>
    <w:rsid w:val="00B40B08"/>
    <w:rPr>
      <w:rFonts w:asciiTheme="majorHAnsi" w:eastAsiaTheme="majorEastAsia" w:hAnsiTheme="majorHAnsi" w:cstheme="majorBidi"/>
      <w:sz w:val="22"/>
      <w:szCs w:val="22"/>
    </w:rPr>
  </w:style>
  <w:style w:type="character" w:customStyle="1" w:styleId="Heading5Char">
    <w:name w:val="Heading 5 Char"/>
    <w:basedOn w:val="DefaultParagraphFont"/>
    <w:link w:val="Heading5"/>
    <w:uiPriority w:val="9"/>
    <w:semiHidden/>
    <w:rsid w:val="00E932FC"/>
    <w:rPr>
      <w:rFonts w:asciiTheme="majorHAnsi" w:eastAsiaTheme="majorEastAsia" w:hAnsiTheme="majorHAnsi" w:cstheme="majorBidi"/>
      <w:color w:val="455F51" w:themeColor="text2"/>
      <w:sz w:val="22"/>
      <w:szCs w:val="22"/>
    </w:rPr>
  </w:style>
  <w:style w:type="character" w:customStyle="1" w:styleId="Heading6Char">
    <w:name w:val="Heading 6 Char"/>
    <w:basedOn w:val="DefaultParagraphFont"/>
    <w:link w:val="Heading6"/>
    <w:uiPriority w:val="9"/>
    <w:semiHidden/>
    <w:rsid w:val="00E932FC"/>
    <w:rPr>
      <w:rFonts w:asciiTheme="majorHAnsi" w:eastAsiaTheme="majorEastAsia" w:hAnsiTheme="majorHAnsi" w:cstheme="majorBidi"/>
      <w:i/>
      <w:iCs/>
      <w:color w:val="455F51" w:themeColor="text2"/>
      <w:sz w:val="21"/>
      <w:szCs w:val="21"/>
    </w:rPr>
  </w:style>
  <w:style w:type="character" w:customStyle="1" w:styleId="Heading7Char">
    <w:name w:val="Heading 7 Char"/>
    <w:basedOn w:val="DefaultParagraphFont"/>
    <w:link w:val="Heading7"/>
    <w:uiPriority w:val="9"/>
    <w:semiHidden/>
    <w:rsid w:val="00E932FC"/>
    <w:rPr>
      <w:rFonts w:asciiTheme="majorHAnsi" w:eastAsiaTheme="majorEastAsia" w:hAnsiTheme="majorHAnsi" w:cstheme="majorBidi"/>
      <w:i/>
      <w:iCs/>
      <w:color w:val="2A4F1C" w:themeColor="accent1" w:themeShade="80"/>
      <w:sz w:val="21"/>
      <w:szCs w:val="21"/>
    </w:rPr>
  </w:style>
  <w:style w:type="character" w:customStyle="1" w:styleId="Heading8Char">
    <w:name w:val="Heading 8 Char"/>
    <w:basedOn w:val="DefaultParagraphFont"/>
    <w:link w:val="Heading8"/>
    <w:uiPriority w:val="9"/>
    <w:semiHidden/>
    <w:rsid w:val="00E932FC"/>
    <w:rPr>
      <w:rFonts w:asciiTheme="majorHAnsi" w:eastAsiaTheme="majorEastAsia" w:hAnsiTheme="majorHAnsi" w:cstheme="majorBidi"/>
      <w:b/>
      <w:bCs/>
      <w:color w:val="455F51" w:themeColor="text2"/>
    </w:rPr>
  </w:style>
  <w:style w:type="character" w:customStyle="1" w:styleId="Heading9Char">
    <w:name w:val="Heading 9 Char"/>
    <w:basedOn w:val="DefaultParagraphFont"/>
    <w:link w:val="Heading9"/>
    <w:uiPriority w:val="9"/>
    <w:semiHidden/>
    <w:rsid w:val="00E932FC"/>
    <w:rPr>
      <w:rFonts w:asciiTheme="majorHAnsi" w:eastAsiaTheme="majorEastAsia" w:hAnsiTheme="majorHAnsi" w:cstheme="majorBidi"/>
      <w:b/>
      <w:bCs/>
      <w:i/>
      <w:iCs/>
      <w:color w:val="455F51" w:themeColor="text2"/>
    </w:rPr>
  </w:style>
  <w:style w:type="paragraph" w:styleId="Caption">
    <w:name w:val="caption"/>
    <w:basedOn w:val="Normal"/>
    <w:next w:val="Normal"/>
    <w:uiPriority w:val="35"/>
    <w:semiHidden/>
    <w:unhideWhenUsed/>
    <w:qFormat/>
    <w:rsid w:val="00E932FC"/>
    <w:pPr>
      <w:spacing w:line="240" w:lineRule="auto"/>
    </w:pPr>
    <w:rPr>
      <w:b/>
      <w:bCs/>
      <w:smallCaps/>
      <w:color w:val="595959" w:themeColor="text1" w:themeTint="A6"/>
      <w:spacing w:val="6"/>
    </w:rPr>
  </w:style>
  <w:style w:type="paragraph" w:styleId="Title">
    <w:name w:val="Title"/>
    <w:basedOn w:val="Normal"/>
    <w:next w:val="Normal"/>
    <w:link w:val="TitleChar"/>
    <w:uiPriority w:val="10"/>
    <w:qFormat/>
    <w:rsid w:val="00282B41"/>
    <w:pPr>
      <w:spacing w:after="0" w:line="240" w:lineRule="auto"/>
      <w:contextualSpacing/>
    </w:pPr>
    <w:rPr>
      <w:rFonts w:asciiTheme="majorHAnsi" w:eastAsiaTheme="majorEastAsia" w:hAnsiTheme="majorHAnsi" w:cstheme="majorBidi"/>
      <w:b/>
      <w:color w:val="339966"/>
      <w:spacing w:val="-10"/>
      <w:sz w:val="56"/>
      <w:szCs w:val="56"/>
    </w:rPr>
  </w:style>
  <w:style w:type="character" w:customStyle="1" w:styleId="TitleChar">
    <w:name w:val="Title Char"/>
    <w:basedOn w:val="DefaultParagraphFont"/>
    <w:link w:val="Title"/>
    <w:uiPriority w:val="10"/>
    <w:rsid w:val="00282B41"/>
    <w:rPr>
      <w:rFonts w:asciiTheme="majorHAnsi" w:eastAsiaTheme="majorEastAsia" w:hAnsiTheme="majorHAnsi" w:cstheme="majorBidi"/>
      <w:b/>
      <w:color w:val="339966"/>
      <w:spacing w:val="-10"/>
      <w:sz w:val="56"/>
      <w:szCs w:val="56"/>
    </w:rPr>
  </w:style>
  <w:style w:type="paragraph" w:styleId="Subtitle">
    <w:name w:val="Subtitle"/>
    <w:basedOn w:val="Normal"/>
    <w:next w:val="Normal"/>
    <w:link w:val="SubtitleChar"/>
    <w:uiPriority w:val="11"/>
    <w:qFormat/>
    <w:rsid w:val="00E932FC"/>
    <w:pPr>
      <w:numPr>
        <w:ilvl w:val="1"/>
      </w:numPr>
      <w:spacing w:line="240" w:lineRule="auto"/>
    </w:pPr>
    <w:rPr>
      <w:rFonts w:asciiTheme="majorHAnsi" w:eastAsiaTheme="majorEastAsia" w:hAnsiTheme="majorHAnsi" w:cstheme="majorBidi"/>
      <w:szCs w:val="24"/>
    </w:rPr>
  </w:style>
  <w:style w:type="character" w:customStyle="1" w:styleId="SubtitleChar">
    <w:name w:val="Subtitle Char"/>
    <w:basedOn w:val="DefaultParagraphFont"/>
    <w:link w:val="Subtitle"/>
    <w:uiPriority w:val="11"/>
    <w:rsid w:val="00E932FC"/>
    <w:rPr>
      <w:rFonts w:asciiTheme="majorHAnsi" w:eastAsiaTheme="majorEastAsia" w:hAnsiTheme="majorHAnsi" w:cstheme="majorBidi"/>
      <w:sz w:val="24"/>
      <w:szCs w:val="24"/>
    </w:rPr>
  </w:style>
  <w:style w:type="character" w:styleId="Strong">
    <w:name w:val="Strong"/>
    <w:basedOn w:val="DefaultParagraphFont"/>
    <w:uiPriority w:val="22"/>
    <w:qFormat/>
    <w:rsid w:val="00E932FC"/>
    <w:rPr>
      <w:b/>
      <w:bCs/>
    </w:rPr>
  </w:style>
  <w:style w:type="character" w:styleId="Emphasis">
    <w:name w:val="Emphasis"/>
    <w:basedOn w:val="DefaultParagraphFont"/>
    <w:uiPriority w:val="20"/>
    <w:qFormat/>
    <w:rsid w:val="00E932FC"/>
    <w:rPr>
      <w:i/>
      <w:iCs/>
    </w:rPr>
  </w:style>
  <w:style w:type="paragraph" w:styleId="NoSpacing">
    <w:name w:val="No Spacing"/>
    <w:uiPriority w:val="1"/>
    <w:qFormat/>
    <w:rsid w:val="0018473C"/>
    <w:pPr>
      <w:spacing w:after="0" w:line="240" w:lineRule="auto"/>
    </w:pPr>
    <w:rPr>
      <w:rFonts w:ascii="Times New Roman" w:hAnsi="Times New Roman"/>
    </w:rPr>
  </w:style>
  <w:style w:type="paragraph" w:styleId="ListParagraph">
    <w:name w:val="List Paragraph"/>
    <w:basedOn w:val="Normal"/>
    <w:uiPriority w:val="34"/>
    <w:qFormat/>
    <w:rsid w:val="00C6288D"/>
    <w:pPr>
      <w:ind w:left="720"/>
      <w:contextualSpacing/>
    </w:pPr>
  </w:style>
  <w:style w:type="paragraph" w:styleId="Quote">
    <w:name w:val="Quote"/>
    <w:basedOn w:val="Normal"/>
    <w:next w:val="Normal"/>
    <w:link w:val="QuoteChar"/>
    <w:uiPriority w:val="29"/>
    <w:qFormat/>
    <w:rsid w:val="00E932FC"/>
    <w:pPr>
      <w:spacing w:before="160"/>
      <w:ind w:left="720" w:right="720"/>
    </w:pPr>
    <w:rPr>
      <w:i/>
      <w:iCs/>
      <w:color w:val="404040" w:themeColor="text1" w:themeTint="BF"/>
    </w:rPr>
  </w:style>
  <w:style w:type="character" w:customStyle="1" w:styleId="QuoteChar">
    <w:name w:val="Quote Char"/>
    <w:basedOn w:val="DefaultParagraphFont"/>
    <w:link w:val="Quote"/>
    <w:uiPriority w:val="29"/>
    <w:rsid w:val="00E932FC"/>
    <w:rPr>
      <w:i/>
      <w:iCs/>
      <w:color w:val="404040" w:themeColor="text1" w:themeTint="BF"/>
    </w:rPr>
  </w:style>
  <w:style w:type="paragraph" w:styleId="IntenseQuote">
    <w:name w:val="Intense Quote"/>
    <w:basedOn w:val="Normal"/>
    <w:next w:val="Normal"/>
    <w:link w:val="IntenseQuoteChar"/>
    <w:uiPriority w:val="30"/>
    <w:qFormat/>
    <w:rsid w:val="0018473C"/>
    <w:pPr>
      <w:pBdr>
        <w:left w:val="single" w:sz="18" w:space="12" w:color="549E39" w:themeColor="accent1"/>
      </w:pBdr>
      <w:spacing w:before="100" w:beforeAutospacing="1" w:line="300" w:lineRule="auto"/>
      <w:ind w:left="1224" w:right="1224"/>
    </w:pPr>
    <w:rPr>
      <w:rFonts w:asciiTheme="majorHAnsi" w:eastAsiaTheme="majorEastAsia" w:hAnsiTheme="majorHAnsi" w:cstheme="majorBidi"/>
      <w:color w:val="339966"/>
      <w:sz w:val="28"/>
      <w:szCs w:val="28"/>
    </w:rPr>
  </w:style>
  <w:style w:type="character" w:customStyle="1" w:styleId="IntenseQuoteChar">
    <w:name w:val="Intense Quote Char"/>
    <w:basedOn w:val="DefaultParagraphFont"/>
    <w:link w:val="IntenseQuote"/>
    <w:uiPriority w:val="30"/>
    <w:rsid w:val="0018473C"/>
    <w:rPr>
      <w:rFonts w:asciiTheme="majorHAnsi" w:eastAsiaTheme="majorEastAsia" w:hAnsiTheme="majorHAnsi" w:cstheme="majorBidi"/>
      <w:color w:val="339966"/>
      <w:sz w:val="28"/>
      <w:szCs w:val="28"/>
    </w:rPr>
  </w:style>
  <w:style w:type="character" w:styleId="SubtleEmphasis">
    <w:name w:val="Subtle Emphasis"/>
    <w:basedOn w:val="DefaultParagraphFont"/>
    <w:uiPriority w:val="19"/>
    <w:qFormat/>
    <w:rsid w:val="00E932FC"/>
    <w:rPr>
      <w:i/>
      <w:iCs/>
      <w:color w:val="404040" w:themeColor="text1" w:themeTint="BF"/>
    </w:rPr>
  </w:style>
  <w:style w:type="character" w:styleId="IntenseEmphasis">
    <w:name w:val="Intense Emphasis"/>
    <w:basedOn w:val="DefaultParagraphFont"/>
    <w:uiPriority w:val="21"/>
    <w:qFormat/>
    <w:rsid w:val="00E932FC"/>
    <w:rPr>
      <w:b/>
      <w:bCs/>
      <w:i/>
      <w:iCs/>
    </w:rPr>
  </w:style>
  <w:style w:type="character" w:styleId="SubtleReference">
    <w:name w:val="Subtle Reference"/>
    <w:basedOn w:val="DefaultParagraphFont"/>
    <w:uiPriority w:val="31"/>
    <w:qFormat/>
    <w:rsid w:val="00E932FC"/>
    <w:rPr>
      <w:smallCaps/>
      <w:color w:val="404040" w:themeColor="text1" w:themeTint="BF"/>
      <w:u w:val="single" w:color="7F7F7F" w:themeColor="text1" w:themeTint="80"/>
    </w:rPr>
  </w:style>
  <w:style w:type="character" w:styleId="IntenseReference">
    <w:name w:val="Intense Reference"/>
    <w:basedOn w:val="DefaultParagraphFont"/>
    <w:uiPriority w:val="32"/>
    <w:qFormat/>
    <w:rsid w:val="00E932FC"/>
    <w:rPr>
      <w:b/>
      <w:bCs/>
      <w:smallCaps/>
      <w:spacing w:val="5"/>
      <w:u w:val="single"/>
    </w:rPr>
  </w:style>
  <w:style w:type="character" w:styleId="BookTitle">
    <w:name w:val="Book Title"/>
    <w:basedOn w:val="DefaultParagraphFont"/>
    <w:uiPriority w:val="33"/>
    <w:qFormat/>
    <w:rsid w:val="00E932FC"/>
    <w:rPr>
      <w:b/>
      <w:bCs/>
      <w:smallCaps/>
    </w:rPr>
  </w:style>
  <w:style w:type="paragraph" w:styleId="TOCHeading">
    <w:name w:val="TOC Heading"/>
    <w:basedOn w:val="Heading1"/>
    <w:next w:val="Normal"/>
    <w:uiPriority w:val="39"/>
    <w:unhideWhenUsed/>
    <w:qFormat/>
    <w:rsid w:val="00E932FC"/>
    <w:pPr>
      <w:outlineLvl w:val="9"/>
    </w:pPr>
  </w:style>
  <w:style w:type="paragraph" w:customStyle="1" w:styleId="Recipient">
    <w:name w:val="Recipient"/>
    <w:basedOn w:val="Heading2"/>
    <w:uiPriority w:val="3"/>
    <w:rsid w:val="00DE63A0"/>
    <w:pPr>
      <w:spacing w:before="1200"/>
    </w:pPr>
    <w:rPr>
      <w:b w:val="0"/>
      <w:color w:val="549E39" w:themeColor="accent1"/>
    </w:rPr>
  </w:style>
  <w:style w:type="paragraph" w:customStyle="1" w:styleId="ContactInfo">
    <w:name w:val="Contact Info"/>
    <w:basedOn w:val="Normal"/>
    <w:uiPriority w:val="1"/>
    <w:rsid w:val="00DE63A0"/>
    <w:pPr>
      <w:spacing w:after="0"/>
    </w:pPr>
  </w:style>
  <w:style w:type="paragraph" w:styleId="Closing">
    <w:name w:val="Closing"/>
    <w:basedOn w:val="Normal"/>
    <w:next w:val="Signature"/>
    <w:link w:val="ClosingChar"/>
    <w:uiPriority w:val="6"/>
    <w:unhideWhenUsed/>
    <w:rsid w:val="00DE63A0"/>
    <w:pPr>
      <w:spacing w:before="480" w:after="960" w:line="240" w:lineRule="auto"/>
    </w:pPr>
  </w:style>
  <w:style w:type="character" w:customStyle="1" w:styleId="ClosingChar">
    <w:name w:val="Closing Char"/>
    <w:basedOn w:val="DefaultParagraphFont"/>
    <w:link w:val="Closing"/>
    <w:uiPriority w:val="6"/>
    <w:rsid w:val="00DE63A0"/>
    <w:rPr>
      <w:rFonts w:eastAsiaTheme="minorHAnsi"/>
      <w:kern w:val="20"/>
      <w:szCs w:val="20"/>
    </w:rPr>
  </w:style>
  <w:style w:type="paragraph" w:styleId="Signature">
    <w:name w:val="Signature"/>
    <w:basedOn w:val="Normal"/>
    <w:link w:val="SignatureChar"/>
    <w:uiPriority w:val="7"/>
    <w:unhideWhenUsed/>
    <w:rsid w:val="00DE63A0"/>
    <w:pPr>
      <w:spacing w:after="0"/>
    </w:pPr>
    <w:rPr>
      <w:b/>
      <w:bCs/>
    </w:rPr>
  </w:style>
  <w:style w:type="character" w:customStyle="1" w:styleId="SignatureChar">
    <w:name w:val="Signature Char"/>
    <w:basedOn w:val="DefaultParagraphFont"/>
    <w:link w:val="Signature"/>
    <w:uiPriority w:val="7"/>
    <w:rsid w:val="00DE63A0"/>
    <w:rPr>
      <w:rFonts w:eastAsiaTheme="minorHAnsi"/>
      <w:b/>
      <w:bCs/>
      <w:kern w:val="20"/>
      <w:szCs w:val="20"/>
    </w:rPr>
  </w:style>
  <w:style w:type="paragraph" w:styleId="Salutation">
    <w:name w:val="Salutation"/>
    <w:basedOn w:val="Normal"/>
    <w:link w:val="SalutationChar"/>
    <w:uiPriority w:val="4"/>
    <w:unhideWhenUsed/>
    <w:rsid w:val="00DE63A0"/>
    <w:pPr>
      <w:spacing w:before="720"/>
    </w:pPr>
  </w:style>
  <w:style w:type="character" w:customStyle="1" w:styleId="SalutationChar">
    <w:name w:val="Salutation Char"/>
    <w:basedOn w:val="DefaultParagraphFont"/>
    <w:link w:val="Salutation"/>
    <w:uiPriority w:val="4"/>
    <w:rsid w:val="00DE63A0"/>
    <w:rPr>
      <w:rFonts w:eastAsiaTheme="minorHAnsi"/>
      <w:kern w:val="20"/>
      <w:szCs w:val="20"/>
    </w:rPr>
  </w:style>
  <w:style w:type="character" w:styleId="PlaceholderText">
    <w:name w:val="Placeholder Text"/>
    <w:basedOn w:val="DefaultParagraphFont"/>
    <w:uiPriority w:val="99"/>
    <w:semiHidden/>
    <w:rsid w:val="00155109"/>
    <w:rPr>
      <w:color w:val="666666"/>
    </w:rPr>
  </w:style>
  <w:style w:type="paragraph" w:styleId="Header">
    <w:name w:val="header"/>
    <w:basedOn w:val="Normal"/>
    <w:link w:val="HeaderChar"/>
    <w:uiPriority w:val="99"/>
    <w:unhideWhenUsed/>
    <w:rsid w:val="006C60CA"/>
    <w:pPr>
      <w:tabs>
        <w:tab w:val="center" w:pos="4680"/>
        <w:tab w:val="right" w:pos="9360"/>
      </w:tabs>
      <w:spacing w:after="0" w:line="240" w:lineRule="auto"/>
    </w:pPr>
  </w:style>
  <w:style w:type="character" w:customStyle="1" w:styleId="HeaderChar">
    <w:name w:val="Header Char"/>
    <w:basedOn w:val="DefaultParagraphFont"/>
    <w:link w:val="Header"/>
    <w:uiPriority w:val="99"/>
    <w:rsid w:val="006C60CA"/>
  </w:style>
  <w:style w:type="paragraph" w:styleId="Footer">
    <w:name w:val="footer"/>
    <w:basedOn w:val="Normal"/>
    <w:link w:val="FooterChar"/>
    <w:uiPriority w:val="99"/>
    <w:unhideWhenUsed/>
    <w:rsid w:val="006C60CA"/>
    <w:pPr>
      <w:tabs>
        <w:tab w:val="center" w:pos="4680"/>
        <w:tab w:val="right" w:pos="9360"/>
      </w:tabs>
      <w:spacing w:after="0" w:line="240" w:lineRule="auto"/>
    </w:pPr>
  </w:style>
  <w:style w:type="character" w:customStyle="1" w:styleId="FooterChar">
    <w:name w:val="Footer Char"/>
    <w:basedOn w:val="DefaultParagraphFont"/>
    <w:link w:val="Footer"/>
    <w:uiPriority w:val="99"/>
    <w:rsid w:val="006C60CA"/>
  </w:style>
  <w:style w:type="paragraph" w:styleId="NormalWeb">
    <w:name w:val="Normal (Web)"/>
    <w:basedOn w:val="Normal"/>
    <w:uiPriority w:val="99"/>
    <w:unhideWhenUsed/>
    <w:rsid w:val="00282B41"/>
    <w:pPr>
      <w:spacing w:before="100" w:beforeAutospacing="1" w:after="100" w:afterAutospacing="1" w:line="240" w:lineRule="auto"/>
    </w:pPr>
    <w:rPr>
      <w:rFonts w:eastAsia="Times New Roman" w:cs="Times New Roman"/>
      <w:szCs w:val="24"/>
      <w:lang w:val="es-ES" w:eastAsia="es-ES"/>
    </w:rPr>
  </w:style>
  <w:style w:type="character" w:styleId="Hyperlink">
    <w:name w:val="Hyperlink"/>
    <w:basedOn w:val="DefaultParagraphFont"/>
    <w:uiPriority w:val="99"/>
    <w:unhideWhenUsed/>
    <w:rsid w:val="00282B41"/>
    <w:rPr>
      <w:color w:val="0000FF"/>
      <w:u w:val="single"/>
    </w:rPr>
  </w:style>
  <w:style w:type="table" w:styleId="GridTable4-Accent1">
    <w:name w:val="Grid Table 4 Accent 1"/>
    <w:basedOn w:val="TableNormal"/>
    <w:uiPriority w:val="49"/>
    <w:rsid w:val="00A52317"/>
    <w:pPr>
      <w:spacing w:after="0" w:line="240" w:lineRule="auto"/>
    </w:pPr>
    <w:tblPr>
      <w:tblStyleRowBandSize w:val="1"/>
      <w:tblStyleColBandSize w:val="1"/>
      <w:tblBorders>
        <w:top w:val="single" w:sz="4" w:space="0" w:color="93D07C" w:themeColor="accent1" w:themeTint="99"/>
        <w:left w:val="single" w:sz="4" w:space="0" w:color="93D07C" w:themeColor="accent1" w:themeTint="99"/>
        <w:bottom w:val="single" w:sz="4" w:space="0" w:color="93D07C" w:themeColor="accent1" w:themeTint="99"/>
        <w:right w:val="single" w:sz="4" w:space="0" w:color="93D07C" w:themeColor="accent1" w:themeTint="99"/>
        <w:insideH w:val="single" w:sz="4" w:space="0" w:color="93D07C" w:themeColor="accent1" w:themeTint="99"/>
        <w:insideV w:val="single" w:sz="4" w:space="0" w:color="93D07C" w:themeColor="accent1" w:themeTint="99"/>
      </w:tblBorders>
    </w:tblPr>
    <w:tblStylePr w:type="firstRow">
      <w:rPr>
        <w:b/>
        <w:bCs/>
        <w:color w:val="FFFFFF" w:themeColor="background1"/>
      </w:rPr>
      <w:tblPr/>
      <w:tcPr>
        <w:tcBorders>
          <w:top w:val="single" w:sz="4" w:space="0" w:color="549E39" w:themeColor="accent1"/>
          <w:left w:val="single" w:sz="4" w:space="0" w:color="549E39" w:themeColor="accent1"/>
          <w:bottom w:val="single" w:sz="4" w:space="0" w:color="549E39" w:themeColor="accent1"/>
          <w:right w:val="single" w:sz="4" w:space="0" w:color="549E39" w:themeColor="accent1"/>
          <w:insideH w:val="nil"/>
          <w:insideV w:val="nil"/>
        </w:tcBorders>
        <w:shd w:val="clear" w:color="auto" w:fill="549E39" w:themeFill="accent1"/>
      </w:tcPr>
    </w:tblStylePr>
    <w:tblStylePr w:type="lastRow">
      <w:rPr>
        <w:b/>
        <w:bCs/>
      </w:rPr>
      <w:tblPr/>
      <w:tcPr>
        <w:tcBorders>
          <w:top w:val="double" w:sz="4" w:space="0" w:color="549E39" w:themeColor="accent1"/>
        </w:tcBorders>
      </w:tcPr>
    </w:tblStylePr>
    <w:tblStylePr w:type="firstCol">
      <w:rPr>
        <w:b/>
        <w:bCs/>
      </w:rPr>
    </w:tblStylePr>
    <w:tblStylePr w:type="lastCol">
      <w:rPr>
        <w:b/>
        <w:bCs/>
      </w:rPr>
    </w:tblStylePr>
    <w:tblStylePr w:type="band1Vert">
      <w:tblPr/>
      <w:tcPr>
        <w:shd w:val="clear" w:color="auto" w:fill="DAEFD3" w:themeFill="accent1" w:themeFillTint="33"/>
      </w:tcPr>
    </w:tblStylePr>
    <w:tblStylePr w:type="band1Horz">
      <w:tblPr/>
      <w:tcPr>
        <w:shd w:val="clear" w:color="auto" w:fill="DAEFD3" w:themeFill="accent1" w:themeFillTint="33"/>
      </w:tcPr>
    </w:tblStylePr>
  </w:style>
  <w:style w:type="character" w:styleId="HTMLCode">
    <w:name w:val="HTML Code"/>
    <w:basedOn w:val="DefaultParagraphFont"/>
    <w:uiPriority w:val="99"/>
    <w:semiHidden/>
    <w:unhideWhenUsed/>
    <w:rsid w:val="00503598"/>
    <w:rPr>
      <w:rFonts w:ascii="Courier New" w:eastAsia="Times New Roman" w:hAnsi="Courier New" w:cs="Courier New"/>
      <w:sz w:val="20"/>
      <w:szCs w:val="20"/>
    </w:rPr>
  </w:style>
  <w:style w:type="paragraph" w:styleId="TOC1">
    <w:name w:val="toc 1"/>
    <w:basedOn w:val="Normal"/>
    <w:next w:val="Normal"/>
    <w:autoRedefine/>
    <w:uiPriority w:val="39"/>
    <w:unhideWhenUsed/>
    <w:rsid w:val="00503598"/>
    <w:pPr>
      <w:spacing w:after="100" w:line="259" w:lineRule="auto"/>
    </w:pPr>
    <w:rPr>
      <w:rFonts w:asciiTheme="minorHAnsi" w:eastAsiaTheme="minorHAnsi" w:hAnsiTheme="minorHAnsi"/>
      <w:sz w:val="22"/>
      <w:szCs w:val="22"/>
      <w:lang w:val="es-ES" w:eastAsia="en-US"/>
    </w:rPr>
  </w:style>
  <w:style w:type="paragraph" w:styleId="TOC2">
    <w:name w:val="toc 2"/>
    <w:basedOn w:val="Normal"/>
    <w:next w:val="Normal"/>
    <w:autoRedefine/>
    <w:uiPriority w:val="39"/>
    <w:unhideWhenUsed/>
    <w:rsid w:val="00503598"/>
    <w:pPr>
      <w:spacing w:after="100" w:line="259" w:lineRule="auto"/>
      <w:ind w:left="220"/>
    </w:pPr>
    <w:rPr>
      <w:rFonts w:asciiTheme="minorHAnsi" w:eastAsiaTheme="minorHAnsi" w:hAnsiTheme="minorHAnsi"/>
      <w:sz w:val="22"/>
      <w:szCs w:val="22"/>
      <w:lang w:val="es-ES" w:eastAsia="en-US"/>
    </w:rPr>
  </w:style>
  <w:style w:type="paragraph" w:styleId="TOC3">
    <w:name w:val="toc 3"/>
    <w:basedOn w:val="Normal"/>
    <w:next w:val="Normal"/>
    <w:autoRedefine/>
    <w:uiPriority w:val="39"/>
    <w:unhideWhenUsed/>
    <w:rsid w:val="00503598"/>
    <w:pPr>
      <w:spacing w:after="100" w:line="259" w:lineRule="auto"/>
      <w:ind w:left="440"/>
    </w:pPr>
    <w:rPr>
      <w:rFonts w:asciiTheme="minorHAnsi" w:eastAsiaTheme="minorHAnsi" w:hAnsiTheme="minorHAnsi"/>
      <w:sz w:val="22"/>
      <w:szCs w:val="22"/>
      <w:lang w:val="es-ES" w:eastAsia="en-US"/>
    </w:rPr>
  </w:style>
  <w:style w:type="paragraph" w:customStyle="1" w:styleId="fx-current">
    <w:name w:val="fx-current"/>
    <w:basedOn w:val="Normal"/>
    <w:rsid w:val="00503598"/>
    <w:pPr>
      <w:spacing w:before="100" w:beforeAutospacing="1" w:after="100" w:afterAutospacing="1" w:line="240" w:lineRule="auto"/>
    </w:pPr>
    <w:rPr>
      <w:rFonts w:eastAsia="Times New Roman" w:cs="Times New Roman"/>
      <w:szCs w:val="24"/>
      <w:lang w:val="es-ES" w:eastAsia="es-ES_tradnl"/>
    </w:rPr>
  </w:style>
  <w:style w:type="character" w:customStyle="1" w:styleId="license">
    <w:name w:val="license"/>
    <w:basedOn w:val="DefaultParagraphFont"/>
    <w:rsid w:val="00503598"/>
  </w:style>
  <w:style w:type="character" w:customStyle="1" w:styleId="sep">
    <w:name w:val="sep"/>
    <w:basedOn w:val="DefaultParagraphFont"/>
    <w:rsid w:val="00503598"/>
  </w:style>
  <w:style w:type="paragraph" w:customStyle="1" w:styleId="toggle-idevice">
    <w:name w:val="toggle-idevice"/>
    <w:basedOn w:val="Normal"/>
    <w:rsid w:val="00EC11F8"/>
    <w:pPr>
      <w:spacing w:before="100" w:beforeAutospacing="1" w:after="100" w:afterAutospacing="1" w:line="240" w:lineRule="auto"/>
    </w:pPr>
    <w:rPr>
      <w:rFonts w:eastAsia="Times New Roman" w:cs="Times New Roman"/>
      <w:szCs w:val="24"/>
      <w:lang w:val="es-ES" w:eastAsia="es-ES_tradnl"/>
    </w:rPr>
  </w:style>
  <w:style w:type="table" w:styleId="GridTable4-Accent3">
    <w:name w:val="Grid Table 4 Accent 3"/>
    <w:basedOn w:val="TableNormal"/>
    <w:uiPriority w:val="49"/>
    <w:rsid w:val="006F7F3C"/>
    <w:pPr>
      <w:spacing w:after="0" w:line="240" w:lineRule="auto"/>
    </w:pPr>
    <w:tblPr>
      <w:tblStyleRowBandSize w:val="1"/>
      <w:tblStyleColBandSize w:val="1"/>
      <w:tblBorders>
        <w:top w:val="single" w:sz="4" w:space="0" w:color="D9E288" w:themeColor="accent3" w:themeTint="99"/>
        <w:left w:val="single" w:sz="4" w:space="0" w:color="D9E288" w:themeColor="accent3" w:themeTint="99"/>
        <w:bottom w:val="single" w:sz="4" w:space="0" w:color="D9E288" w:themeColor="accent3" w:themeTint="99"/>
        <w:right w:val="single" w:sz="4" w:space="0" w:color="D9E288" w:themeColor="accent3" w:themeTint="99"/>
        <w:insideH w:val="single" w:sz="4" w:space="0" w:color="D9E288" w:themeColor="accent3" w:themeTint="99"/>
        <w:insideV w:val="single" w:sz="4" w:space="0" w:color="D9E288" w:themeColor="accent3" w:themeTint="99"/>
      </w:tblBorders>
    </w:tblPr>
    <w:tblStylePr w:type="firstRow">
      <w:rPr>
        <w:b/>
        <w:bCs/>
        <w:color w:val="FFFFFF" w:themeColor="background1"/>
      </w:rPr>
      <w:tblPr/>
      <w:tcPr>
        <w:tcBorders>
          <w:top w:val="single" w:sz="4" w:space="0" w:color="C0CF3A" w:themeColor="accent3"/>
          <w:left w:val="single" w:sz="4" w:space="0" w:color="C0CF3A" w:themeColor="accent3"/>
          <w:bottom w:val="single" w:sz="4" w:space="0" w:color="C0CF3A" w:themeColor="accent3"/>
          <w:right w:val="single" w:sz="4" w:space="0" w:color="C0CF3A" w:themeColor="accent3"/>
          <w:insideH w:val="nil"/>
          <w:insideV w:val="nil"/>
        </w:tcBorders>
        <w:shd w:val="clear" w:color="auto" w:fill="C0CF3A" w:themeFill="accent3"/>
      </w:tcPr>
    </w:tblStylePr>
    <w:tblStylePr w:type="lastRow">
      <w:rPr>
        <w:b/>
        <w:bCs/>
      </w:rPr>
      <w:tblPr/>
      <w:tcPr>
        <w:tcBorders>
          <w:top w:val="double" w:sz="4" w:space="0" w:color="C0CF3A" w:themeColor="accent3"/>
        </w:tcBorders>
      </w:tcPr>
    </w:tblStylePr>
    <w:tblStylePr w:type="firstCol">
      <w:rPr>
        <w:b/>
        <w:bCs/>
      </w:rPr>
    </w:tblStylePr>
    <w:tblStylePr w:type="lastCol">
      <w:rPr>
        <w:b/>
        <w:bCs/>
      </w:rPr>
    </w:tblStylePr>
    <w:tblStylePr w:type="band1Vert">
      <w:tblPr/>
      <w:tcPr>
        <w:shd w:val="clear" w:color="auto" w:fill="F2F5D7" w:themeFill="accent3" w:themeFillTint="33"/>
      </w:tcPr>
    </w:tblStylePr>
    <w:tblStylePr w:type="band1Horz">
      <w:tblPr/>
      <w:tcPr>
        <w:shd w:val="clear" w:color="auto" w:fill="F2F5D7" w:themeFill="accent3" w:themeFillTint="33"/>
      </w:tcPr>
    </w:tblStylePr>
  </w:style>
  <w:style w:type="table" w:styleId="TableGrid">
    <w:name w:val="Table Grid"/>
    <w:basedOn w:val="TableNormal"/>
    <w:uiPriority w:val="39"/>
    <w:rsid w:val="00D311E4"/>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GridTable1Light-Accent1">
    <w:name w:val="Grid Table 1 Light Accent 1"/>
    <w:basedOn w:val="TableNormal"/>
    <w:uiPriority w:val="46"/>
    <w:rsid w:val="00D311E4"/>
    <w:pPr>
      <w:spacing w:after="0" w:line="240" w:lineRule="auto"/>
    </w:pPr>
    <w:tblPr>
      <w:tblStyleRowBandSize w:val="1"/>
      <w:tblStyleColBandSize w:val="1"/>
      <w:tblBorders>
        <w:top w:val="single" w:sz="4" w:space="0" w:color="B7DFA8" w:themeColor="accent1" w:themeTint="66"/>
        <w:left w:val="single" w:sz="4" w:space="0" w:color="B7DFA8" w:themeColor="accent1" w:themeTint="66"/>
        <w:bottom w:val="single" w:sz="4" w:space="0" w:color="B7DFA8" w:themeColor="accent1" w:themeTint="66"/>
        <w:right w:val="single" w:sz="4" w:space="0" w:color="B7DFA8" w:themeColor="accent1" w:themeTint="66"/>
        <w:insideH w:val="single" w:sz="4" w:space="0" w:color="B7DFA8" w:themeColor="accent1" w:themeTint="66"/>
        <w:insideV w:val="single" w:sz="4" w:space="0" w:color="B7DFA8" w:themeColor="accent1" w:themeTint="66"/>
      </w:tblBorders>
    </w:tblPr>
    <w:tblStylePr w:type="firstRow">
      <w:rPr>
        <w:b/>
        <w:bCs/>
      </w:rPr>
      <w:tblPr/>
      <w:tcPr>
        <w:tcBorders>
          <w:bottom w:val="single" w:sz="12" w:space="0" w:color="93D07C" w:themeColor="accent1" w:themeTint="99"/>
        </w:tcBorders>
      </w:tcPr>
    </w:tblStylePr>
    <w:tblStylePr w:type="lastRow">
      <w:rPr>
        <w:b/>
        <w:bCs/>
      </w:rPr>
      <w:tblPr/>
      <w:tcPr>
        <w:tcBorders>
          <w:top w:val="double" w:sz="2" w:space="0" w:color="93D07C" w:themeColor="accent1" w:themeTint="99"/>
        </w:tcBorders>
      </w:tcPr>
    </w:tblStylePr>
    <w:tblStylePr w:type="firstCol">
      <w:rPr>
        <w:b/>
        <w:bCs/>
      </w:rPr>
    </w:tblStylePr>
    <w:tblStylePr w:type="lastCol">
      <w:rPr>
        <w:b/>
        <w:bCs/>
      </w:rPr>
    </w:tblStylePr>
  </w:style>
  <w:style w:type="table" w:styleId="GridTable1Light-Accent3">
    <w:name w:val="Grid Table 1 Light Accent 3"/>
    <w:basedOn w:val="TableNormal"/>
    <w:uiPriority w:val="46"/>
    <w:rsid w:val="00D311E4"/>
    <w:pPr>
      <w:spacing w:after="0" w:line="240" w:lineRule="auto"/>
    </w:pPr>
    <w:tblPr>
      <w:tblStyleRowBandSize w:val="1"/>
      <w:tblStyleColBandSize w:val="1"/>
      <w:tblBorders>
        <w:top w:val="single" w:sz="4" w:space="0" w:color="E5EBB0" w:themeColor="accent3" w:themeTint="66"/>
        <w:left w:val="single" w:sz="4" w:space="0" w:color="E5EBB0" w:themeColor="accent3" w:themeTint="66"/>
        <w:bottom w:val="single" w:sz="4" w:space="0" w:color="E5EBB0" w:themeColor="accent3" w:themeTint="66"/>
        <w:right w:val="single" w:sz="4" w:space="0" w:color="E5EBB0" w:themeColor="accent3" w:themeTint="66"/>
        <w:insideH w:val="single" w:sz="4" w:space="0" w:color="E5EBB0" w:themeColor="accent3" w:themeTint="66"/>
        <w:insideV w:val="single" w:sz="4" w:space="0" w:color="E5EBB0" w:themeColor="accent3" w:themeTint="66"/>
      </w:tblBorders>
    </w:tblPr>
    <w:tblStylePr w:type="firstRow">
      <w:rPr>
        <w:b/>
        <w:bCs/>
      </w:rPr>
      <w:tblPr/>
      <w:tcPr>
        <w:tcBorders>
          <w:bottom w:val="single" w:sz="12" w:space="0" w:color="D9E288" w:themeColor="accent3" w:themeTint="99"/>
        </w:tcBorders>
      </w:tcPr>
    </w:tblStylePr>
    <w:tblStylePr w:type="lastRow">
      <w:rPr>
        <w:b/>
        <w:bCs/>
      </w:rPr>
      <w:tblPr/>
      <w:tcPr>
        <w:tcBorders>
          <w:top w:val="double" w:sz="2" w:space="0" w:color="D9E288" w:themeColor="accent3" w:themeTint="99"/>
        </w:tcBorders>
      </w:tcPr>
    </w:tblStylePr>
    <w:tblStylePr w:type="firstCol">
      <w:rPr>
        <w:b/>
        <w:bCs/>
      </w:rPr>
    </w:tblStylePr>
    <w:tblStylePr w:type="lastCol">
      <w:rPr>
        <w:b/>
        <w:bCs/>
      </w:rPr>
    </w:tblStylePr>
  </w:style>
  <w:style w:type="table" w:styleId="GridTable2-Accent1">
    <w:name w:val="Grid Table 2 Accent 1"/>
    <w:basedOn w:val="TableNormal"/>
    <w:uiPriority w:val="47"/>
    <w:rsid w:val="00D311E4"/>
    <w:pPr>
      <w:spacing w:after="0" w:line="240" w:lineRule="auto"/>
    </w:pPr>
    <w:tblPr>
      <w:tblStyleRowBandSize w:val="1"/>
      <w:tblStyleColBandSize w:val="1"/>
      <w:tblBorders>
        <w:top w:val="single" w:sz="2" w:space="0" w:color="93D07C" w:themeColor="accent1" w:themeTint="99"/>
        <w:bottom w:val="single" w:sz="2" w:space="0" w:color="93D07C" w:themeColor="accent1" w:themeTint="99"/>
        <w:insideH w:val="single" w:sz="2" w:space="0" w:color="93D07C" w:themeColor="accent1" w:themeTint="99"/>
        <w:insideV w:val="single" w:sz="2" w:space="0" w:color="93D07C" w:themeColor="accent1" w:themeTint="99"/>
      </w:tblBorders>
    </w:tblPr>
    <w:tblStylePr w:type="firstRow">
      <w:rPr>
        <w:b/>
        <w:bCs/>
      </w:rPr>
      <w:tblPr/>
      <w:tcPr>
        <w:tcBorders>
          <w:top w:val="nil"/>
          <w:bottom w:val="single" w:sz="12" w:space="0" w:color="93D07C" w:themeColor="accent1" w:themeTint="99"/>
          <w:insideH w:val="nil"/>
          <w:insideV w:val="nil"/>
        </w:tcBorders>
        <w:shd w:val="clear" w:color="auto" w:fill="FFFFFF" w:themeFill="background1"/>
      </w:tcPr>
    </w:tblStylePr>
    <w:tblStylePr w:type="lastRow">
      <w:rPr>
        <w:b/>
        <w:bCs/>
      </w:rPr>
      <w:tblPr/>
      <w:tcPr>
        <w:tcBorders>
          <w:top w:val="double" w:sz="2" w:space="0" w:color="93D07C" w:themeColor="accent1"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DAEFD3" w:themeFill="accent1" w:themeFillTint="33"/>
      </w:tcPr>
    </w:tblStylePr>
    <w:tblStylePr w:type="band1Horz">
      <w:tblPr/>
      <w:tcPr>
        <w:shd w:val="clear" w:color="auto" w:fill="DAEFD3" w:themeFill="accent1" w:themeFillTint="33"/>
      </w:tcPr>
    </w:tblStylePr>
  </w:style>
  <w:style w:type="character" w:styleId="UnresolvedMention">
    <w:name w:val="Unresolved Mention"/>
    <w:basedOn w:val="DefaultParagraphFont"/>
    <w:uiPriority w:val="99"/>
    <w:semiHidden/>
    <w:unhideWhenUsed/>
    <w:rsid w:val="007D657C"/>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7606085">
      <w:bodyDiv w:val="1"/>
      <w:marLeft w:val="0"/>
      <w:marRight w:val="0"/>
      <w:marTop w:val="0"/>
      <w:marBottom w:val="0"/>
      <w:divBdr>
        <w:top w:val="none" w:sz="0" w:space="0" w:color="auto"/>
        <w:left w:val="none" w:sz="0" w:space="0" w:color="auto"/>
        <w:bottom w:val="none" w:sz="0" w:space="0" w:color="auto"/>
        <w:right w:val="none" w:sz="0" w:space="0" w:color="auto"/>
      </w:divBdr>
    </w:div>
    <w:div w:id="161090983">
      <w:bodyDiv w:val="1"/>
      <w:marLeft w:val="0"/>
      <w:marRight w:val="0"/>
      <w:marTop w:val="0"/>
      <w:marBottom w:val="0"/>
      <w:divBdr>
        <w:top w:val="none" w:sz="0" w:space="0" w:color="auto"/>
        <w:left w:val="none" w:sz="0" w:space="0" w:color="auto"/>
        <w:bottom w:val="none" w:sz="0" w:space="0" w:color="auto"/>
        <w:right w:val="none" w:sz="0" w:space="0" w:color="auto"/>
      </w:divBdr>
    </w:div>
    <w:div w:id="267078764">
      <w:bodyDiv w:val="1"/>
      <w:marLeft w:val="0"/>
      <w:marRight w:val="0"/>
      <w:marTop w:val="0"/>
      <w:marBottom w:val="0"/>
      <w:divBdr>
        <w:top w:val="none" w:sz="0" w:space="0" w:color="auto"/>
        <w:left w:val="none" w:sz="0" w:space="0" w:color="auto"/>
        <w:bottom w:val="none" w:sz="0" w:space="0" w:color="auto"/>
        <w:right w:val="none" w:sz="0" w:space="0" w:color="auto"/>
      </w:divBdr>
    </w:div>
    <w:div w:id="310839239">
      <w:bodyDiv w:val="1"/>
      <w:marLeft w:val="0"/>
      <w:marRight w:val="0"/>
      <w:marTop w:val="0"/>
      <w:marBottom w:val="0"/>
      <w:divBdr>
        <w:top w:val="none" w:sz="0" w:space="0" w:color="auto"/>
        <w:left w:val="none" w:sz="0" w:space="0" w:color="auto"/>
        <w:bottom w:val="none" w:sz="0" w:space="0" w:color="auto"/>
        <w:right w:val="none" w:sz="0" w:space="0" w:color="auto"/>
      </w:divBdr>
    </w:div>
    <w:div w:id="396366357">
      <w:bodyDiv w:val="1"/>
      <w:marLeft w:val="0"/>
      <w:marRight w:val="0"/>
      <w:marTop w:val="0"/>
      <w:marBottom w:val="0"/>
      <w:divBdr>
        <w:top w:val="none" w:sz="0" w:space="0" w:color="auto"/>
        <w:left w:val="none" w:sz="0" w:space="0" w:color="auto"/>
        <w:bottom w:val="none" w:sz="0" w:space="0" w:color="auto"/>
        <w:right w:val="none" w:sz="0" w:space="0" w:color="auto"/>
      </w:divBdr>
      <w:divsChild>
        <w:div w:id="2091732354">
          <w:marLeft w:val="0"/>
          <w:marRight w:val="0"/>
          <w:marTop w:val="0"/>
          <w:marBottom w:val="0"/>
          <w:divBdr>
            <w:top w:val="none" w:sz="0" w:space="0" w:color="auto"/>
            <w:left w:val="none" w:sz="0" w:space="0" w:color="auto"/>
            <w:bottom w:val="none" w:sz="0" w:space="0" w:color="auto"/>
            <w:right w:val="none" w:sz="0" w:space="0" w:color="auto"/>
          </w:divBdr>
          <w:divsChild>
            <w:div w:id="8137185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36548860">
      <w:bodyDiv w:val="1"/>
      <w:marLeft w:val="0"/>
      <w:marRight w:val="0"/>
      <w:marTop w:val="0"/>
      <w:marBottom w:val="0"/>
      <w:divBdr>
        <w:top w:val="none" w:sz="0" w:space="0" w:color="auto"/>
        <w:left w:val="none" w:sz="0" w:space="0" w:color="auto"/>
        <w:bottom w:val="none" w:sz="0" w:space="0" w:color="auto"/>
        <w:right w:val="none" w:sz="0" w:space="0" w:color="auto"/>
      </w:divBdr>
    </w:div>
    <w:div w:id="700277940">
      <w:bodyDiv w:val="1"/>
      <w:marLeft w:val="0"/>
      <w:marRight w:val="0"/>
      <w:marTop w:val="0"/>
      <w:marBottom w:val="0"/>
      <w:divBdr>
        <w:top w:val="none" w:sz="0" w:space="0" w:color="auto"/>
        <w:left w:val="none" w:sz="0" w:space="0" w:color="auto"/>
        <w:bottom w:val="none" w:sz="0" w:space="0" w:color="auto"/>
        <w:right w:val="none" w:sz="0" w:space="0" w:color="auto"/>
      </w:divBdr>
    </w:div>
    <w:div w:id="719400842">
      <w:bodyDiv w:val="1"/>
      <w:marLeft w:val="0"/>
      <w:marRight w:val="0"/>
      <w:marTop w:val="0"/>
      <w:marBottom w:val="0"/>
      <w:divBdr>
        <w:top w:val="none" w:sz="0" w:space="0" w:color="auto"/>
        <w:left w:val="none" w:sz="0" w:space="0" w:color="auto"/>
        <w:bottom w:val="none" w:sz="0" w:space="0" w:color="auto"/>
        <w:right w:val="none" w:sz="0" w:space="0" w:color="auto"/>
      </w:divBdr>
    </w:div>
    <w:div w:id="1290822065">
      <w:bodyDiv w:val="1"/>
      <w:marLeft w:val="0"/>
      <w:marRight w:val="0"/>
      <w:marTop w:val="0"/>
      <w:marBottom w:val="0"/>
      <w:divBdr>
        <w:top w:val="none" w:sz="0" w:space="0" w:color="auto"/>
        <w:left w:val="none" w:sz="0" w:space="0" w:color="auto"/>
        <w:bottom w:val="none" w:sz="0" w:space="0" w:color="auto"/>
        <w:right w:val="none" w:sz="0" w:space="0" w:color="auto"/>
      </w:divBdr>
    </w:div>
    <w:div w:id="1560245291">
      <w:bodyDiv w:val="1"/>
      <w:marLeft w:val="0"/>
      <w:marRight w:val="0"/>
      <w:marTop w:val="0"/>
      <w:marBottom w:val="0"/>
      <w:divBdr>
        <w:top w:val="none" w:sz="0" w:space="0" w:color="auto"/>
        <w:left w:val="none" w:sz="0" w:space="0" w:color="auto"/>
        <w:bottom w:val="none" w:sz="0" w:space="0" w:color="auto"/>
        <w:right w:val="none" w:sz="0" w:space="0" w:color="auto"/>
      </w:divBdr>
    </w:div>
    <w:div w:id="1601715353">
      <w:bodyDiv w:val="1"/>
      <w:marLeft w:val="0"/>
      <w:marRight w:val="0"/>
      <w:marTop w:val="0"/>
      <w:marBottom w:val="0"/>
      <w:divBdr>
        <w:top w:val="none" w:sz="0" w:space="0" w:color="auto"/>
        <w:left w:val="none" w:sz="0" w:space="0" w:color="auto"/>
        <w:bottom w:val="none" w:sz="0" w:space="0" w:color="auto"/>
        <w:right w:val="none" w:sz="0" w:space="0" w:color="auto"/>
      </w:divBdr>
    </w:div>
    <w:div w:id="182415529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2.png"/><Relationship Id="rId18" Type="http://schemas.openxmlformats.org/officeDocument/2006/relationships/hyperlink" Target="https://aulavirtual32.educa.madrid.org/ies.lapaz.alcobendas/pluginfile.php/194610/mod_exeweb/content/4/213_inteligencia_artificial_ia_y_machine_learning_ml.html" TargetMode="External"/><Relationship Id="rId26" Type="http://schemas.openxmlformats.org/officeDocument/2006/relationships/hyperlink" Target="https://aulavirtual32.educa.madrid.org/ies.lapaz.alcobendas/pluginfile.php/194610/mod_exeweb/content/4/215_cloud_computing.html" TargetMode="External"/><Relationship Id="rId39" Type="http://schemas.openxmlformats.org/officeDocument/2006/relationships/header" Target="header1.xml"/><Relationship Id="rId21" Type="http://schemas.openxmlformats.org/officeDocument/2006/relationships/hyperlink" Target="https://hadoop.apache.org/" TargetMode="External"/><Relationship Id="rId34" Type="http://schemas.openxmlformats.org/officeDocument/2006/relationships/hyperlink" Target="https://aulavirtual32.educa.madrid.org/ies.lapaz.alcobendas/pluginfile.php/194610/mod_exeweb/content/4/216_ciberseguridad.html" TargetMode="External"/><Relationship Id="rId42" Type="http://schemas.openxmlformats.org/officeDocument/2006/relationships/theme" Target="theme/theme1.xml"/><Relationship Id="rId7" Type="http://schemas.openxmlformats.org/officeDocument/2006/relationships/webSettings" Target="webSettings.xml"/><Relationship Id="rId2" Type="http://schemas.openxmlformats.org/officeDocument/2006/relationships/customXml" Target="../customXml/item2.xml"/><Relationship Id="rId16" Type="http://schemas.openxmlformats.org/officeDocument/2006/relationships/image" Target="media/image3.png"/><Relationship Id="rId20" Type="http://schemas.openxmlformats.org/officeDocument/2006/relationships/image" Target="media/image5.png"/><Relationship Id="rId29" Type="http://schemas.openxmlformats.org/officeDocument/2006/relationships/image" Target="media/image7.png"/><Relationship Id="rId41"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image" Target="media/image1.png"/><Relationship Id="rId24" Type="http://schemas.openxmlformats.org/officeDocument/2006/relationships/image" Target="media/image6.png"/><Relationship Id="rId32" Type="http://schemas.openxmlformats.org/officeDocument/2006/relationships/hyperlink" Target="https://aulavirtual32.educa.madrid.org/ies.lapaz.alcobendas/pluginfile.php/194610/mod_exeweb/content/4/216_ciberseguridad.html" TargetMode="External"/><Relationship Id="rId37" Type="http://schemas.openxmlformats.org/officeDocument/2006/relationships/hyperlink" Target="https://www.incibe.es/empresas/formacion/kit-concienciacion" TargetMode="External"/><Relationship Id="rId40" Type="http://schemas.openxmlformats.org/officeDocument/2006/relationships/footer" Target="footer1.xml"/><Relationship Id="rId5" Type="http://schemas.openxmlformats.org/officeDocument/2006/relationships/styles" Target="styles.xml"/><Relationship Id="rId15" Type="http://schemas.openxmlformats.org/officeDocument/2006/relationships/hyperlink" Target="https://youtu.be/V9Kr2SujqHw?si=Y8wilyPELOW3Jgqw" TargetMode="External"/><Relationship Id="rId23" Type="http://schemas.openxmlformats.org/officeDocument/2006/relationships/hyperlink" Target="https://www.mongodb.com/es" TargetMode="External"/><Relationship Id="rId28" Type="http://schemas.openxmlformats.org/officeDocument/2006/relationships/hyperlink" Target="https://aulavirtual32.educa.madrid.org/ies.lapaz.alcobendas/pluginfile.php/194610/mod_exeweb/content/4/215_cloud_computing.html" TargetMode="External"/><Relationship Id="rId36" Type="http://schemas.openxmlformats.org/officeDocument/2006/relationships/hyperlink" Target="https://commission.europa.eu/law/law-topic/data-protection/data-protection-eu_es" TargetMode="External"/><Relationship Id="rId10" Type="http://schemas.openxmlformats.org/officeDocument/2006/relationships/hyperlink" Target="https://aulavirtual32.educa.madrid.org/ies.lapaz.alcobendas/pluginfile.php/194610/mod_exeweb/content/4/11_definicin_y_panorama_general.html" TargetMode="External"/><Relationship Id="rId19" Type="http://schemas.openxmlformats.org/officeDocument/2006/relationships/hyperlink" Target="https://www.youtube.com/@DotCSV" TargetMode="External"/><Relationship Id="rId31" Type="http://schemas.openxmlformats.org/officeDocument/2006/relationships/hyperlink" Target="https://aulavirtual32.educa.madrid.org/ies.lapaz.alcobendas/pluginfile.php/194610/mod_exeweb/content/4/216_ciberseguridad.html" TargetMode="External"/><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hyperlink" Target="https://aulavirtual32.educa.madrid.org/ies.lapaz.alcobendas/pluginfile.php/194610/mod_exeweb/content/4/211_blockchain.html" TargetMode="External"/><Relationship Id="rId22" Type="http://schemas.openxmlformats.org/officeDocument/2006/relationships/hyperlink" Target="https://spark.apache.org/" TargetMode="External"/><Relationship Id="rId27" Type="http://schemas.openxmlformats.org/officeDocument/2006/relationships/hyperlink" Target="https://aulavirtual32.educa.madrid.org/ies.lapaz.alcobendas/pluginfile.php/194610/mod_exeweb/content/4/215_cloud_computing.html" TargetMode="External"/><Relationship Id="rId30" Type="http://schemas.openxmlformats.org/officeDocument/2006/relationships/hyperlink" Target="https://aulavirtual32.educa.madrid.org/ies.lapaz.alcobendas/pluginfile.php/194610/mod_exeweb/content/4/216_ciberseguridad.html" TargetMode="External"/><Relationship Id="rId35" Type="http://schemas.openxmlformats.org/officeDocument/2006/relationships/hyperlink" Target="https://aulavirtual32.educa.madrid.org/ies.lapaz.alcobendas/pluginfile.php/194610/mod_exeweb/content/4/216_ciberseguridad.html" TargetMode="External"/><Relationship Id="rId8" Type="http://schemas.openxmlformats.org/officeDocument/2006/relationships/footnotes" Target="footnotes.xml"/><Relationship Id="rId3" Type="http://schemas.openxmlformats.org/officeDocument/2006/relationships/customXml" Target="../customXml/item3.xml"/><Relationship Id="rId12" Type="http://schemas.openxmlformats.org/officeDocument/2006/relationships/hyperlink" Target="https://aulavirtual32.educa.madrid.org/ies.lapaz.alcobendas/pluginfile.php/194610/mod_exeweb/content/4/12_importancia_de_las_thd_en_la_transformacin_digital.html" TargetMode="External"/><Relationship Id="rId17" Type="http://schemas.openxmlformats.org/officeDocument/2006/relationships/image" Target="media/image4.png"/><Relationship Id="rId25" Type="http://schemas.openxmlformats.org/officeDocument/2006/relationships/hyperlink" Target="https://youtu.be/h4Af5bbFAq0?si=sexyl4n8_HZc1Eel" TargetMode="External"/><Relationship Id="rId33" Type="http://schemas.openxmlformats.org/officeDocument/2006/relationships/hyperlink" Target="https://aulavirtual32.educa.madrid.org/ies.lapaz.alcobendas/pluginfile.php/194610/mod_exeweb/content/4/216_ciberseguridad.html" TargetMode="External"/><Relationship Id="rId38" Type="http://schemas.openxmlformats.org/officeDocument/2006/relationships/image" Target="media/image8.png"/></Relationships>
</file>

<file path=word/_rels/header1.xml.rels><?xml version="1.0" encoding="UTF-8" standalone="yes"?>
<Relationships xmlns="http://schemas.openxmlformats.org/package/2006/relationships"><Relationship Id="rId3" Type="http://schemas.openxmlformats.org/officeDocument/2006/relationships/image" Target="media/image11.png"/><Relationship Id="rId2" Type="http://schemas.openxmlformats.org/officeDocument/2006/relationships/image" Target="media/image10.png"/><Relationship Id="rId1" Type="http://schemas.openxmlformats.org/officeDocument/2006/relationships/image" Target="media/image9.png"/></Relationships>
</file>

<file path=word/theme/theme1.xml><?xml version="1.0" encoding="utf-8"?>
<a:theme xmlns:a="http://schemas.openxmlformats.org/drawingml/2006/main" name="Office Theme">
  <a:themeElements>
    <a:clrScheme name="Green">
      <a:dk1>
        <a:sysClr val="windowText" lastClr="000000"/>
      </a:dk1>
      <a:lt1>
        <a:sysClr val="window" lastClr="FFFFFF"/>
      </a:lt1>
      <a:dk2>
        <a:srgbClr val="455F51"/>
      </a:dk2>
      <a:lt2>
        <a:srgbClr val="E3DED1"/>
      </a:lt2>
      <a:accent1>
        <a:srgbClr val="549E39"/>
      </a:accent1>
      <a:accent2>
        <a:srgbClr val="8AB833"/>
      </a:accent2>
      <a:accent3>
        <a:srgbClr val="C0CF3A"/>
      </a:accent3>
      <a:accent4>
        <a:srgbClr val="029676"/>
      </a:accent4>
      <a:accent5>
        <a:srgbClr val="4AB5C4"/>
      </a:accent5>
      <a:accent6>
        <a:srgbClr val="0989B1"/>
      </a:accent6>
      <a:hlink>
        <a:srgbClr val="6B9F25"/>
      </a:hlink>
      <a:folHlink>
        <a:srgbClr val="BA6906"/>
      </a:folHlink>
    </a:clrScheme>
    <a:fontScheme name="Cambria">
      <a:majorFont>
        <a:latin typeface="Constantia"/>
        <a:ea typeface=""/>
        <a:cs typeface=""/>
      </a:majorFont>
      <a:minorFont>
        <a:latin typeface="Constantia"/>
        <a:ea typeface=""/>
        <a:cs typeface=""/>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1867FBBEFD40724CA20725D6B3094130" ma:contentTypeVersion="14" ma:contentTypeDescription="Create a new document." ma:contentTypeScope="" ma:versionID="b563ecc397a77cd5d82b22a852f9d63c">
  <xsd:schema xmlns:xsd="http://www.w3.org/2001/XMLSchema" xmlns:xs="http://www.w3.org/2001/XMLSchema" xmlns:p="http://schemas.microsoft.com/office/2006/metadata/properties" xmlns:ns1="http://schemas.microsoft.com/sharepoint/v3" xmlns:ns2="21705155-b4ce-4c69-95dc-4fd6cb8c5571" xmlns:ns3="38de0ec0-4312-429b-9ba4-a6f7899b86f2" targetNamespace="http://schemas.microsoft.com/office/2006/metadata/properties" ma:root="true" ma:fieldsID="514fef1a96c1431b584933149cb0dc9f" ns1:_="" ns2:_="" ns3:_="">
    <xsd:import namespace="http://schemas.microsoft.com/sharepoint/v3"/>
    <xsd:import namespace="21705155-b4ce-4c69-95dc-4fd6cb8c5571"/>
    <xsd:import namespace="38de0ec0-4312-429b-9ba4-a6f7899b86f2"/>
    <xsd:element name="properties">
      <xsd:complexType>
        <xsd:sequence>
          <xsd:element name="documentManagement">
            <xsd:complexType>
              <xsd:all>
                <xsd:element ref="ns2:lcf76f155ced4ddcb4097134ff3c332f" minOccurs="0"/>
                <xsd:element ref="ns3:TaxCatchAll" minOccurs="0"/>
                <xsd:element ref="ns2:MediaServiceMetadata" minOccurs="0"/>
                <xsd:element ref="ns2:MediaServiceFastMetadata" minOccurs="0"/>
                <xsd:element ref="ns2:MediaServiceSearchProperties" minOccurs="0"/>
                <xsd:element ref="ns2:MediaServiceDateTaken" minOccurs="0"/>
                <xsd:element ref="ns2:MediaServiceObjectDetectorVersions" minOccurs="0"/>
                <xsd:element ref="ns2:MediaServiceOCR" minOccurs="0"/>
                <xsd:element ref="ns2:MediaServiceGenerationTime" minOccurs="0"/>
                <xsd:element ref="ns2:MediaServiceEventHashCode" minOccurs="0"/>
                <xsd:element ref="ns2:MediaServiceBillingMetadata" minOccurs="0"/>
                <xsd:element ref="ns1:_ip_UnifiedCompliancePolicyProperties" minOccurs="0"/>
                <xsd:element ref="ns1:_ip_UnifiedCompliancePolicyUIAc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 elementFormDefault="qualified">
    <xsd:import namespace="http://schemas.microsoft.com/office/2006/documentManagement/types"/>
    <xsd:import namespace="http://schemas.microsoft.com/office/infopath/2007/PartnerControls"/>
    <xsd:element name="_ip_UnifiedCompliancePolicyProperties" ma:index="20" nillable="true" ma:displayName="Unified Compliance Policy Properties" ma:hidden="true" ma:internalName="_ip_UnifiedCompliancePolicyProperties">
      <xsd:simpleType>
        <xsd:restriction base="dms:Note"/>
      </xsd:simpleType>
    </xsd:element>
    <xsd:element name="_ip_UnifiedCompliancePolicyUIAction" ma:index="21" nillable="true" ma:displayName="Unified Compliance Policy UI Action" ma:hidden="true" ma:internalName="_ip_UnifiedCompliancePolicyUIAction">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21705155-b4ce-4c69-95dc-4fd6cb8c5571" elementFormDefault="qualified">
    <xsd:import namespace="http://schemas.microsoft.com/office/2006/documentManagement/types"/>
    <xsd:import namespace="http://schemas.microsoft.com/office/infopath/2007/PartnerControls"/>
    <xsd:element name="lcf76f155ced4ddcb4097134ff3c332f" ma:index="9" nillable="true" ma:taxonomy="true" ma:internalName="lcf76f155ced4ddcb4097134ff3c332f" ma:taxonomyFieldName="MediaServiceImageTags" ma:displayName="Image Tags" ma:readOnly="false" ma:fieldId="{5cf76f15-5ced-4ddc-b409-7134ff3c332f}" ma:taxonomyMulti="true" ma:sspId="e385fb40-52d4-4fae-9c5b-3e8ff8a5878e" ma:termSetId="09814cd3-568e-fe90-9814-8d621ff8fb84" ma:anchorId="fba54fb3-c3e1-fe81-a776-ca4b69148c4d" ma:open="true" ma:isKeyword="false">
      <xsd:complexType>
        <xsd:sequence>
          <xsd:element ref="pc:Terms" minOccurs="0" maxOccurs="1"/>
        </xsd:sequence>
      </xsd:complexType>
    </xsd:element>
    <xsd:element name="MediaServiceMetadata" ma:index="11" nillable="true" ma:displayName="MediaServiceMetadata" ma:hidden="true" ma:internalName="MediaServiceMetadata" ma:readOnly="true">
      <xsd:simpleType>
        <xsd:restriction base="dms:Note"/>
      </xsd:simpleType>
    </xsd:element>
    <xsd:element name="MediaServiceFastMetadata" ma:index="12" nillable="true" ma:displayName="MediaServiceFastMetadata" ma:hidden="true" ma:internalName="MediaServiceFastMetadata" ma:readOnly="true">
      <xsd:simpleType>
        <xsd:restriction base="dms:Note"/>
      </xsd:simpleType>
    </xsd:element>
    <xsd:element name="MediaServiceSearchProperties" ma:index="13" nillable="true" ma:displayName="MediaServiceSearchProperties" ma:hidden="true" ma:internalName="MediaServiceSearchProperties" ma:readOnly="true">
      <xsd:simpleType>
        <xsd:restriction base="dms:Note"/>
      </xsd:simpleType>
    </xsd:element>
    <xsd:element name="MediaServiceDateTaken" ma:index="14" nillable="true" ma:displayName="MediaServiceDateTaken" ma:hidden="true" ma:indexed="true" ma:internalName="MediaServiceDateTaken" ma:readOnly="true">
      <xsd:simpleType>
        <xsd:restriction base="dms:Text"/>
      </xsd:simpleType>
    </xsd:element>
    <xsd:element name="MediaServiceObjectDetectorVersions" ma:index="15" nillable="true" ma:displayName="MediaServiceObjectDetectorVersions" ma:hidden="true" ma:indexed="true" ma:internalName="MediaServiceObjectDetectorVersions" ma:readOnly="true">
      <xsd:simpleType>
        <xsd:restriction base="dms:Text"/>
      </xsd:simpleType>
    </xsd:element>
    <xsd:element name="MediaServiceOCR" ma:index="16" nillable="true" ma:displayName="Extracted Text" ma:internalName="MediaServiceOCR" ma:readOnly="true">
      <xsd:simpleType>
        <xsd:restriction base="dms:Note">
          <xsd:maxLength value="255"/>
        </xsd:restriction>
      </xsd:simpleType>
    </xsd:element>
    <xsd:element name="MediaServiceGenerationTime" ma:index="17" nillable="true" ma:displayName="MediaServiceGenerationTime" ma:hidden="true" ma:internalName="MediaServiceGenerationTime" ma:readOnly="true">
      <xsd:simpleType>
        <xsd:restriction base="dms:Text"/>
      </xsd:simpleType>
    </xsd:element>
    <xsd:element name="MediaServiceEventHashCode" ma:index="18" nillable="true" ma:displayName="MediaServiceEventHashCode" ma:hidden="true" ma:internalName="MediaServiceEventHashCode" ma:readOnly="true">
      <xsd:simpleType>
        <xsd:restriction base="dms:Text"/>
      </xsd:simpleType>
    </xsd:element>
    <xsd:element name="MediaServiceBillingMetadata" ma:index="19" nillable="true" ma:displayName="MediaServiceBillingMetadata" ma:hidden="true" ma:internalName="MediaServiceBillingMetadata"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38de0ec0-4312-429b-9ba4-a6f7899b86f2" elementFormDefault="qualified">
    <xsd:import namespace="http://schemas.microsoft.com/office/2006/documentManagement/types"/>
    <xsd:import namespace="http://schemas.microsoft.com/office/infopath/2007/PartnerControls"/>
    <xsd:element name="TaxCatchAll" ma:index="10" nillable="true" ma:displayName="Taxonomy Catch All Column" ma:hidden="true" ma:list="{61ef2866-7176-4fd6-ae15-58358271bbbc}" ma:internalName="TaxCatchAll" ma:showField="CatchAllData" ma:web="38de0ec0-4312-429b-9ba4-a6f7899b86f2">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p:properties xmlns:p="http://schemas.microsoft.com/office/2006/metadata/properties" xmlns:xsi="http://www.w3.org/2001/XMLSchema-instance" xmlns:pc="http://schemas.microsoft.com/office/infopath/2007/PartnerControls">
  <documentManagement>
    <_ip_UnifiedCompliancePolicyUIAction xmlns="http://schemas.microsoft.com/sharepoint/v3" xsi:nil="true"/>
    <_ip_UnifiedCompliancePolicyProperties xmlns="http://schemas.microsoft.com/sharepoint/v3" xsi:nil="true"/>
    <TaxCatchAll xmlns="38de0ec0-4312-429b-9ba4-a6f7899b86f2" xsi:nil="true"/>
    <lcf76f155ced4ddcb4097134ff3c332f xmlns="21705155-b4ce-4c69-95dc-4fd6cb8c5571">
      <Terms xmlns="http://schemas.microsoft.com/office/infopath/2007/PartnerControls"/>
    </lcf76f155ced4ddcb4097134ff3c332f>
  </documentManagement>
</p: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9BD05735-5838-4BC3-A10C-F26CBB585BB3}">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microsoft.com/sharepoint/v3"/>
    <ds:schemaRef ds:uri="21705155-b4ce-4c69-95dc-4fd6cb8c5571"/>
    <ds:schemaRef ds:uri="38de0ec0-4312-429b-9ba4-a6f7899b86f2"/>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1B72C47D-52A6-4002-B691-BB8C99CF8F2B}">
  <ds:schemaRefs>
    <ds:schemaRef ds:uri="http://schemas.microsoft.com/office/2006/metadata/properties"/>
    <ds:schemaRef ds:uri="http://schemas.microsoft.com/office/infopath/2007/PartnerControls"/>
    <ds:schemaRef ds:uri="http://schemas.microsoft.com/sharepoint/v3"/>
    <ds:schemaRef ds:uri="38de0ec0-4312-429b-9ba4-a6f7899b86f2"/>
    <ds:schemaRef ds:uri="21705155-b4ce-4c69-95dc-4fd6cb8c5571"/>
  </ds:schemaRefs>
</ds:datastoreItem>
</file>

<file path=customXml/itemProps3.xml><?xml version="1.0" encoding="utf-8"?>
<ds:datastoreItem xmlns:ds="http://schemas.openxmlformats.org/officeDocument/2006/customXml" ds:itemID="{F4A0FC96-E078-42F3-AEDD-07621D6CE88A}">
  <ds:schemaRefs>
    <ds:schemaRef ds:uri="http://schemas.microsoft.com/sharepoint/v3/contenttype/forms"/>
  </ds:schemaRefs>
</ds:datastoreItem>
</file>

<file path=docMetadata/LabelInfo.xml><?xml version="1.0" encoding="utf-8"?>
<clbl:labelList xmlns:clbl="http://schemas.microsoft.com/office/2020/mipLabelMetadata"/>
</file>

<file path=docProps/app.xml><?xml version="1.0" encoding="utf-8"?>
<Properties xmlns="http://schemas.openxmlformats.org/officeDocument/2006/extended-properties" xmlns:vt="http://schemas.openxmlformats.org/officeDocument/2006/docPropsVTypes">
  <Template>Normal.dotm</Template>
  <TotalTime>308</TotalTime>
  <Pages>18</Pages>
  <Words>7696</Words>
  <Characters>42332</Characters>
  <Application>Microsoft Office Word</Application>
  <DocSecurity>0</DocSecurity>
  <Lines>352</Lines>
  <Paragraphs>99</Paragraphs>
  <ScaleCrop>false</ScaleCrop>
  <HeadingPairs>
    <vt:vector size="4" baseType="variant">
      <vt:variant>
        <vt:lpstr>Title</vt:lpstr>
      </vt:variant>
      <vt:variant>
        <vt:i4>1</vt:i4>
      </vt:variant>
      <vt:variant>
        <vt:lpstr>Título</vt:lpstr>
      </vt:variant>
      <vt:variant>
        <vt:i4>1</vt:i4>
      </vt:variant>
    </vt:vector>
  </HeadingPairs>
  <TitlesOfParts>
    <vt:vector size="2" baseType="lpstr">
      <vt:lpstr/>
      <vt:lpstr/>
    </vt:vector>
  </TitlesOfParts>
  <Company/>
  <LinksUpToDate>false</LinksUpToDate>
  <CharactersWithSpaces>49929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Diego Armando Simbaña Quisilema</dc:creator>
  <cp:keywords/>
  <dc:description/>
  <cp:lastModifiedBy>Diego Armando Simbaña</cp:lastModifiedBy>
  <cp:revision>25</cp:revision>
  <dcterms:created xsi:type="dcterms:W3CDTF">2025-10-16T10:36:00Z</dcterms:created>
  <dcterms:modified xsi:type="dcterms:W3CDTF">2025-11-04T13:24:00Z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0x0101001867FBBEFD40724CA20725D6B3094130</vt:lpwstr>
  </property>
  <property fmtid="{D5CDD505-2E9C-101B-9397-08002B2CF9AE}" pid="3" name="MediaServiceImageTags">
    <vt:lpwstr/>
  </property>
</Properties>
</file>