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附件：飞行剖面对比图</w:t>
      </w:r>
    </w:p>
    <w:p>
      <w:pPr>
        <w:pStyle w:val="Heading2"/>
      </w:pPr>
      <w:r>
        <w:t>去程 — 2026-04-02 I99806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1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99806_2026-04-02_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1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国内段区域偏低：计划FL350 实际FL291，偏差-5985ft，持续55nm</w:t>
        <w:br/>
        <w:t>国内段区域偏低：计划FL350 实际FL301，偏差-4999ft，持续245nm</w:t>
        <w:br/>
        <w:t>国内段区域偏低：计划FL350 实际FL311，偏差-3998ft，持续163nm</w:t>
      </w:r>
    </w:p>
    <w:p>
      <w:pPr>
        <w:pStyle w:val="Heading2"/>
      </w:pPr>
      <w:r>
        <w:t>去程 — 2026-04-29 I99806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1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99806_2026-04-29_pro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1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国内段区域偏低：计划FL350 实际FL291，偏差-5870ft，持续106nm</w:t>
        <w:br/>
        <w:t>哈萨克斯坦区域偏低：计划FL389 实际FL370，偏差-2025ft，持续163nm</w:t>
        <w:br/>
        <w:t>哈萨克斯坦区域偏低：计划FL389 实际FL370，偏差-2024ft，持续54nm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