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阅读 Claude 调研报告时的延伸思考与问答</w:t>
      </w:r>
    </w:p>
    <w:p>
      <w:r>
        <w:t>整理人：zhimingliang　　日期：2026-01-29</w:t>
      </w:r>
    </w:p>
    <w:p>
      <w:r>
        <w:t>背景：在阅读《Anthropic Claude 演进史与生态全景深度调研报告》过程中，就报告涉及的技术概念向 GPT 提出的系列问题及其回答整理。</w:t>
      </w:r>
    </w:p>
    <w:p/>
    <w:p>
      <w:pPr>
        <w:pStyle w:val="Heading2"/>
      </w:pPr>
      <w:r>
        <w:t>一、问题索引</w:t>
      </w:r>
    </w:p>
    <w:p>
      <w:r>
        <w:t>1. 主流大模型的参数规模概览</w:t>
      </w:r>
    </w:p>
    <w:p>
      <w:r>
        <w:t>2. 大模型的训练流水线是什么样的？</w:t>
      </w:r>
    </w:p>
    <w:p>
      <w:r>
        <w:t>3. MoE 是 DeepSeek 原创的吗？</w:t>
      </w:r>
    </w:p>
    <w:p>
      <w:r>
        <w:t>4. Mixtral 与 DeepSeekMoE 的路由和负载均衡策略对比</w:t>
      </w:r>
    </w:p>
    <w:p>
      <w:r>
        <w:t>5. 大模型如何使用 MCP？</w:t>
      </w:r>
    </w:p>
    <w:p>
      <w:r>
        <w:t>6. "深度思考"功能的原理与实现</w:t>
      </w:r>
    </w:p>
    <w:p>
      <w:pPr>
        <w:pStyle w:val="Heading2"/>
      </w:pPr>
      <w:r>
        <w:t>二、主流大模型参数规模概览</w:t>
      </w:r>
    </w:p>
    <w:p>
      <w:r>
        <w:t>说明：B = 十亿参数（billion）。对 MoE 模型需同时关注"总参数量"和"每个 token 的激活参数量"。</w:t>
      </w:r>
    </w:p>
    <w:p>
      <w:pPr>
        <w:pStyle w:val="Heading3"/>
      </w:pPr>
      <w:r>
        <w:t>开源/开权重模型（参数规模公开）</w:t>
      </w:r>
    </w:p>
    <w:p>
      <w:r>
        <w:t>此类模型参数量已公开披露，可直接查阅官方技术报告。</w:t>
      </w:r>
    </w:p>
    <w:p>
      <w:pPr>
        <w:pStyle w:val="Heading3"/>
      </w:pPr>
      <w:r>
        <w:t>闭源/商用旗舰模型（参数规模未公开）</w:t>
      </w:r>
    </w:p>
    <w:p>
      <w:pPr>
        <w:pStyle w:val="ListBullet"/>
      </w:pPr>
      <w:r>
        <w:t>OpenAI GPT 系列：通常不披露参数规模、训练数据细节与结构细节。</w:t>
      </w:r>
    </w:p>
    <w:p>
      <w:pPr>
        <w:pStyle w:val="ListBullet"/>
      </w:pPr>
      <w:r>
        <w:t>Anthropic Claude 系列：通常不披露参数规模。</w:t>
      </w:r>
    </w:p>
    <w:p>
      <w:pPr>
        <w:pStyle w:val="ListBullet"/>
      </w:pPr>
      <w:r>
        <w:t>Google Gemini 系列：公开材料一般不披露参数规模/专家数等关键结构信息。</w:t>
      </w:r>
    </w:p>
    <w:p>
      <w:r>
        <w:t>注意：网络上流传的"某某模型=多少万亿参数"的说法，多为推测或传闻，应谨慎引用。</w:t>
      </w:r>
    </w:p>
    <w:p>
      <w:pPr>
        <w:pStyle w:val="Heading2"/>
      </w:pPr>
      <w:r>
        <w:t>三、大模型训练流水线</w:t>
      </w:r>
    </w:p>
    <w:p>
      <w:r>
        <w:t>行业通用的大模型训练通常包含以下阶段：</w:t>
      </w:r>
    </w:p>
    <w:p>
      <w:pPr>
        <w:pStyle w:val="Heading3"/>
      </w:pPr>
      <w:r>
        <w:t>3.1 预训练（Pretraining）——打地基</w:t>
      </w:r>
    </w:p>
    <w:p>
      <w:r>
        <w:t>目标：学习语言、知识、代码与一般推理模式。</w:t>
      </w:r>
    </w:p>
    <w:p>
      <w:r>
        <w:t>方法：海量语料的 next-token prediction，常用交叉熵损失。</w:t>
      </w:r>
    </w:p>
    <w:p>
      <w:r>
        <w:t>工程要点：数据清洗去重、质量分层、多语种/代码/数学比例配方、训练稳定性与吞吐优化。</w:t>
      </w:r>
    </w:p>
    <w:p>
      <w:pPr>
        <w:pStyle w:val="Heading3"/>
      </w:pPr>
      <w:r>
        <w:t>3.2 继续预训练（Continued Pretraining）——补课与强化专长</w:t>
      </w:r>
    </w:p>
    <w:p>
      <w:r>
        <w:t>领域继续预训练：在代码/数学/医学/金融等领域数据上继续训练，提升专项能力。</w:t>
      </w:r>
    </w:p>
    <w:p>
      <w:r>
        <w:t>长上下文适配：调整位置编码或训练配方，让模型适应更长输入。</w:t>
      </w:r>
    </w:p>
    <w:p>
      <w:pPr>
        <w:pStyle w:val="Heading3"/>
      </w:pPr>
      <w:r>
        <w:t>3.3 指令微调（SFT）——从"会续写"到"会按指令做事"</w:t>
      </w:r>
    </w:p>
    <w:p>
      <w:r>
        <w:t>用（指令，理想回答）监督数据训练，强调对话、多轮、格式输出、工具调用格式等。</w:t>
      </w:r>
    </w:p>
    <w:p>
      <w:r>
        <w:t>显著提升：可用性、遵循指令、结构化输出与对话体验。</w:t>
      </w:r>
    </w:p>
    <w:p>
      <w:pPr>
        <w:pStyle w:val="Heading3"/>
      </w:pPr>
      <w:r>
        <w:t>3.4 偏好对齐（Alignment）——RLHF / RLAIF / DPO</w:t>
      </w:r>
    </w:p>
    <w:p>
      <w:r>
        <w:t>RLHF：人类偏好排序 → 训练奖励模型 → 强化学习优化回答风格与帮助性。</w:t>
      </w:r>
    </w:p>
    <w:p>
      <w:r>
        <w:t>RLAIF：用 AI 辅助/替代偏好标注，降低成本、便于规模化。</w:t>
      </w:r>
    </w:p>
    <w:p>
      <w:r>
        <w:t>DPO/IPO/KTO：不显式跑强化学习，直接用偏好对优化策略，训练更稳、工程更简。</w:t>
      </w:r>
    </w:p>
    <w:p>
      <w:pPr>
        <w:pStyle w:val="Heading3"/>
      </w:pPr>
      <w:r>
        <w:t>3.5 安全与政策对齐（Safety Tuning）</w:t>
      </w:r>
    </w:p>
    <w:p>
      <w:r>
        <w:t>混合安全 SFT + 安全偏好优化 + 规则/分类器/系统提示等护栏。</w:t>
      </w:r>
    </w:p>
    <w:p>
      <w:r>
        <w:t>目标：该拒就拒、该提醒就提醒，同时尽量给出安全替代方案。</w:t>
      </w:r>
    </w:p>
    <w:p>
      <w:pPr>
        <w:pStyle w:val="Heading3"/>
      </w:pPr>
      <w:r>
        <w:t>3.6 工具/代理与多模态专项</w:t>
      </w:r>
    </w:p>
    <w:p>
      <w:r>
        <w:t>工具：通过 function/tool calling 训练模型学会"何时调用工具、如何填参数、如何总结结果"。</w:t>
      </w:r>
    </w:p>
    <w:p>
      <w:r>
        <w:t>多模态：图像/音频/视频通过编码器变成向量 token 与文本融合，同样经历预训练 → SFT → 对齐。</w:t>
      </w:r>
    </w:p>
    <w:p>
      <w:pPr>
        <w:pStyle w:val="Heading2"/>
      </w:pPr>
      <w:r>
        <w:t>四、MoE 的起源与 DeepSeek 的贡献</w:t>
      </w:r>
    </w:p>
    <w:p>
      <w:pPr>
        <w:pStyle w:val="Heading3"/>
      </w:pPr>
      <w:r>
        <w:t>4.1 结论</w:t>
      </w:r>
    </w:p>
    <w:p>
      <w:r>
        <w:t>MoE（Mixture of Experts，专家混合）不是 DeepSeek 原创。它是 1991 年就提出的经典思路，在大模型时代由 Google 等工作系统化推进。DeepSeek 的贡献更偏向"把大规模 MoE 训练与并行工程做得更稳、更省、更可落地"。</w:t>
      </w:r>
    </w:p>
    <w:p>
      <w:pPr>
        <w:pStyle w:val="Heading3"/>
      </w:pPr>
      <w:r>
        <w:t>4.2 关键里程碑</w:t>
      </w:r>
    </w:p>
    <w:p>
      <w:pPr>
        <w:pStyle w:val="ListBullet"/>
      </w:pPr>
      <w:r>
        <w:t>1991 年：Jacobs/Jordan 等提出经典 MoE 框架（分专家 + 门控）。</w:t>
      </w:r>
    </w:p>
    <w:p>
      <w:pPr>
        <w:pStyle w:val="ListBullet"/>
      </w:pPr>
      <w:r>
        <w:t>2017 年：Google 提出稀疏门控 MoE，推动稀疏激活的深度模型。</w:t>
      </w:r>
    </w:p>
    <w:p>
      <w:pPr>
        <w:pStyle w:val="ListBullet"/>
      </w:pPr>
      <w:r>
        <w:t>2021 年：Switch Transformer 简化路由、扩展到极大规模。</w:t>
      </w:r>
    </w:p>
    <w:p>
      <w:pPr>
        <w:pStyle w:val="ListBullet"/>
      </w:pPr>
      <w:r>
        <w:t>2024-2025 年：开源界广泛落地（Mixtral、DeepSeek 等），工程与配方快速演进。</w:t>
      </w:r>
    </w:p>
    <w:p>
      <w:pPr>
        <w:pStyle w:val="Heading2"/>
      </w:pPr>
      <w:r>
        <w:t>五、Mixtral 与 DeepSeekMoE 的路由策略对比</w:t>
      </w:r>
    </w:p>
    <w:p>
      <w:pPr>
        <w:pStyle w:val="Heading3"/>
      </w:pPr>
      <w:r>
        <w:t>5.1 Mixtral：少量专家 + Top-2 路由</w:t>
      </w:r>
    </w:p>
    <w:p>
      <w:r>
        <w:t>每个 MoE 层 8 个专家，每个 token 选择 2 个专家（Top-2）。总参数大，但推理成本接近激活量。</w:t>
      </w:r>
    </w:p>
    <w:p>
      <w:r>
        <w:t>工程特点：专家数较少，路由与负载压力相对更小，系统实现更直接。</w:t>
      </w:r>
    </w:p>
    <w:p>
      <w:pPr>
        <w:pStyle w:val="Heading3"/>
      </w:pPr>
      <w:r>
        <w:t>5.2 DeepSeekMoE：更多专家 + 共享专家 + 强调均衡</w:t>
      </w:r>
    </w:p>
    <w:p>
      <w:r>
        <w:t>典型思路：大量 routed experts + 少量 shared experts 来兼顾泛化与专精。</w:t>
      </w:r>
    </w:p>
    <w:p>
      <w:r>
        <w:t>难点：专家多会放大不均衡与通信开销，因此必须把设备/通信均衡当成核心工程问题。</w:t>
      </w:r>
    </w:p>
    <w:p>
      <w:pPr>
        <w:pStyle w:val="Heading3"/>
      </w:pPr>
      <w:r>
        <w:t>5.3 负载均衡演进</w:t>
      </w:r>
    </w:p>
    <w:p>
      <w:r>
        <w:t>DeepSeek-V2：提出多种辅助损失，覆盖专家级、设备级与通信均衡。</w:t>
      </w:r>
    </w:p>
    <w:p>
      <w:r>
        <w:t>DeepSeek-V3：采用"无辅助损失"的负载均衡策略，训练稳定性更好。</w:t>
      </w:r>
    </w:p>
    <w:p>
      <w:pPr>
        <w:pStyle w:val="Heading3"/>
      </w:pPr>
      <w:r>
        <w:t>5.4 工程选型建议</w:t>
      </w:r>
    </w:p>
    <w:p>
      <w:pPr>
        <w:pStyle w:val="ListBullet"/>
      </w:pPr>
      <w:r>
        <w:t>追求落地简单、稳定上线 → Mixtral 路线更直观。</w:t>
      </w:r>
    </w:p>
    <w:p>
      <w:pPr>
        <w:pStyle w:val="ListBullet"/>
      </w:pPr>
      <w:r>
        <w:t>追求极致性价比/规模化吞吐 → DeepSeek 路线更激进，但系统工程更复杂。</w:t>
      </w:r>
    </w:p>
    <w:p>
      <w:pPr>
        <w:pStyle w:val="Heading2"/>
      </w:pPr>
      <w:r>
        <w:t>六、大模型如何使用 MCP</w:t>
      </w:r>
    </w:p>
    <w:p>
      <w:r>
        <w:t>核心理解：模型本体通常不直接"跑 MCP"。实际是宿主应用（如客户端/IDE/Agent 框架）作为 MCP Client 连接 MCP Server，把外部能力包装成模型可调用的 tools/resources/prompts，模型负责决策"调用什么、参数是什么"。</w:t>
      </w:r>
    </w:p>
    <w:p>
      <w:pPr>
        <w:pStyle w:val="Heading3"/>
      </w:pPr>
      <w:r>
        <w:t>6.1 角色分工</w:t>
      </w:r>
    </w:p>
    <w:p>
      <w:pPr>
        <w:pStyle w:val="ListBullet"/>
      </w:pPr>
      <w:r>
        <w:t>MCP Server：提供 Tools（动作）、Resources（可读上下文数据）、Prompts（提示模板）。</w:t>
      </w:r>
    </w:p>
    <w:p>
      <w:pPr>
        <w:pStyle w:val="ListBullet"/>
      </w:pPr>
      <w:r>
        <w:t>MCP Client：连接/发现/调用 MCP Server，把结果回填给模型。</w:t>
      </w:r>
    </w:p>
    <w:p>
      <w:pPr>
        <w:pStyle w:val="ListBullet"/>
      </w:pPr>
      <w:r>
        <w:t>LLM：在对话中选择是否调用工具，并生成结构化参数。</w:t>
      </w:r>
    </w:p>
    <w:p>
      <w:pPr>
        <w:pStyle w:val="Heading3"/>
      </w:pPr>
      <w:r>
        <w:t>6.2 典型调用流程</w:t>
      </w:r>
    </w:p>
    <w:p>
      <w:r>
        <w:t>1. 连接与握手：协商能力与协议。</w:t>
      </w:r>
    </w:p>
    <w:p>
      <w:r>
        <w:t>2. 发现：列出可用 tools/resources/prompts。</w:t>
      </w:r>
    </w:p>
    <w:p>
      <w:r>
        <w:t>3. 决策：模型输出工具调用意图（类似 function calling）。</w:t>
      </w:r>
    </w:p>
    <w:p>
      <w:r>
        <w:t>4. 执行：Client 通过 tools/call 调用 Server，Server 调外部系统返回结果。</w:t>
      </w:r>
    </w:p>
    <w:p>
      <w:r>
        <w:t>5. 回填：把工具结果追加到上下文，模型再生成最终回答或继续调用。</w:t>
      </w:r>
    </w:p>
    <w:p>
      <w:pPr>
        <w:pStyle w:val="Heading3"/>
      </w:pPr>
      <w:r>
        <w:t>6.3 安全要点</w:t>
      </w:r>
    </w:p>
    <w:p>
      <w:pPr>
        <w:pStyle w:val="ListBullet"/>
      </w:pPr>
      <w:r>
        <w:t>防 Prompt Injection：外部内容可能诱导模型执行危险写操作。</w:t>
      </w:r>
    </w:p>
    <w:p>
      <w:pPr>
        <w:pStyle w:val="ListBullet"/>
      </w:pPr>
      <w:r>
        <w:t>最小权限：OAuth/Token 只给必须的权限，并记录审计日志。</w:t>
      </w:r>
    </w:p>
    <w:p>
      <w:pPr>
        <w:pStyle w:val="ListBullet"/>
      </w:pPr>
      <w:r>
        <w:t>写操作需二次确认：高风险动作要设置额外保护。</w:t>
      </w:r>
    </w:p>
    <w:p>
      <w:pPr>
        <w:pStyle w:val="Heading2"/>
      </w:pPr>
      <w:r>
        <w:t>七、"深度思考"的原理</w:t>
      </w:r>
    </w:p>
    <w:p>
      <w:pPr>
        <w:pStyle w:val="Heading3"/>
      </w:pPr>
      <w:r>
        <w:t>7.1 为什么"一步一步来"就能变好？（Zero-shot CoT）</w:t>
      </w:r>
    </w:p>
    <w:p>
      <w:r>
        <w:t>提示会把模型引导到"讲题解析/推导"文本分布，模型更倾向先写中间步骤再给答案。对复杂题：中间步骤让问题更可分解，也提供自我纠错机会，因此常提升准确率。代价：更慢、更耗 token；且推导越长也可能越容易出错或编造。</w:t>
      </w:r>
    </w:p>
    <w:p>
      <w:pPr>
        <w:pStyle w:val="Heading3"/>
      </w:pPr>
      <w:r>
        <w:t>7.2 千问等模型的"深度思考"开关</w:t>
      </w:r>
    </w:p>
    <w:p>
      <w:r>
        <w:t>混合思考模式：通过 enable_thinking 控制是否先输出思考内容。返回字段分离：reasoning_content（思考过程）与 content（最终回答），客户端可选择显示/隐藏。部分模型始终会先思考，无法关闭（仅思考模式）。</w:t>
      </w:r>
    </w:p>
    <w:p>
      <w:pPr>
        <w:pStyle w:val="Heading3"/>
      </w:pPr>
      <w:r>
        <w:t>7.3 实用提示词建议</w:t>
      </w:r>
    </w:p>
    <w:p>
      <w:pPr>
        <w:pStyle w:val="ListBullet"/>
      </w:pPr>
      <w:r>
        <w:t>请先给出 2-5 步计划，再逐步完成，最后用简单方法自检。</w:t>
      </w:r>
    </w:p>
    <w:p>
      <w:pPr>
        <w:pStyle w:val="ListBullet"/>
      </w:pPr>
      <w:r>
        <w:t>对数学/代码：要求写出关键中间变量与边界条件检查，减少漏项。</w:t>
      </w:r>
    </w:p>
    <w:p>
      <w:pPr>
        <w:pStyle w:val="ListBullet"/>
      </w:pPr>
      <w:r>
        <w:t>只输出最终答案 + 关键步骤，避免冗余。</w:t>
      </w:r>
    </w:p>
    <w:p>
      <w:pPr>
        <w:pStyle w:val="Heading2"/>
      </w:pPr>
      <w:r>
        <w:t>八、参考资料</w:t>
      </w:r>
    </w:p>
    <w:p>
      <w:r>
        <w:t>[1] Kojima et al., 2022, Large Language Models are Zero-Shot Reasoners. arXiv:2205.11916</w:t>
      </w:r>
    </w:p>
    <w:p>
      <w:r>
        <w:t>[2] Wei et al., 2022, Chain-of-Thought Prompting Elicits Reasoning in Large Language Models. arXiv:2201.11903</w:t>
      </w:r>
    </w:p>
    <w:p>
      <w:r>
        <w:t>[3] Shazeer et al., 2017, Outrageously Large Neural Networks: The Sparsely-Gated Mixture-of-Experts Layer. arXiv:1701.06538</w:t>
      </w:r>
    </w:p>
    <w:p>
      <w:r>
        <w:t>[4] Fedus et al., 2021, Switch Transformers: Scaling to Trillion Parameter Models. arXiv:2101.03961</w:t>
      </w:r>
    </w:p>
    <w:p>
      <w:r>
        <w:t>[5] Mistral AI, 2024, Mixtral of Experts / Mixtral 8×22B 技术报告</w:t>
      </w:r>
    </w:p>
    <w:p>
      <w:r>
        <w:t>[6] DeepSeek, 2024, DeepSeek-V2 / DeepSeek-V3 技术报告</w:t>
      </w:r>
    </w:p>
    <w:p>
      <w:r>
        <w:t>[7] Model Context Protocol (MCP) Specification 与 Architecture 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