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Optimal strategy conditional prevalence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1805"/>
        <w:gridCol w:w="2111"/>
        <w:gridCol w:w="1792"/>
        <w:gridCol w:w="1438"/>
        <w:gridCol w:w="1964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prev_known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NB_TN_mean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NB_model_mean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NB_TA_mean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probuseful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winner_strategy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treat_none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treat_none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treat_all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treat_all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treat_all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treat_all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treat_all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treat_all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2026-04-21T11:14:25Z</dcterms:modified>
  <cp:category/>
</cp:coreProperties>
</file>