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200"/>
      </w:pPr>
    </w:p>
    <w:p>
      <w:pPr>
        <w:pStyle w:val="Title"/>
        <w:widowControl/>
        <w:spacing w:after="360"/>
        <w:jc w:val="center"/>
      </w:pPr>
      <w:r>
        <w:rPr>
          <w:rFonts w:ascii="Microsoft YaHei" w:hAnsi="Microsoft YaHei" w:eastAsia="Microsoft YaHei"/>
          <w:b/>
          <w:color w:val="000000"/>
          <w:sz w:val="48"/>
        </w:rPr>
        <w:t>轻量级外卖服务平台验收材料</w:t>
      </w:r>
    </w:p>
    <w:p>
      <w:pPr>
        <w:widowControl/>
        <w:spacing w:after="640"/>
        <w:jc w:val="center"/>
      </w:pPr>
      <w:r>
        <w:rPr>
          <w:rFonts w:ascii="Microsoft YaHei" w:hAnsi="Microsoft YaHei" w:eastAsia="Microsoft YaHei"/>
          <w:b w:val="0"/>
          <w:color w:val="5A5A5A"/>
          <w:sz w:val="26"/>
        </w:rPr>
        <w:t>演示流程  项目特色  测试证据  验收附件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759"/>
        <w:gridCol w:w="4759"/>
      </w:tblGrid>
      <w:tr>
        <w:tc>
          <w:tcPr>
            <w:tcW w:type="dxa" w:w="2381"/>
            <w:shd w:fill="EAF2F8"/>
            <w:tcMar>
              <w:top w:w="150" w:type="dxa"/>
              <w:start w:w="130" w:type="dxa"/>
              <w:bottom w:w="15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项目名称</w:t>
            </w:r>
          </w:p>
        </w:tc>
        <w:tc>
          <w:tcPr>
            <w:tcW w:type="dxa" w:w="6009"/>
            <w:tcMar>
              <w:top w:w="150" w:type="dxa"/>
              <w:start w:w="130" w:type="dxa"/>
              <w:bottom w:w="15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轻量级外卖服务平台</w:t>
            </w:r>
          </w:p>
        </w:tc>
      </w:tr>
      <w:tr>
        <w:tc>
          <w:tcPr>
            <w:tcW w:type="dxa" w:w="2381"/>
            <w:shd w:fill="EAF2F8"/>
            <w:tcMar>
              <w:top w:w="150" w:type="dxa"/>
              <w:start w:w="130" w:type="dxa"/>
              <w:bottom w:w="15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材料用途</w:t>
            </w:r>
          </w:p>
        </w:tc>
        <w:tc>
          <w:tcPr>
            <w:tcW w:type="dxa" w:w="6009"/>
            <w:tcMar>
              <w:top w:w="150" w:type="dxa"/>
              <w:start w:w="130" w:type="dxa"/>
              <w:bottom w:w="15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课程验收与最终实验报告附件</w:t>
            </w:r>
          </w:p>
        </w:tc>
      </w:tr>
      <w:tr>
        <w:tc>
          <w:tcPr>
            <w:tcW w:type="dxa" w:w="2381"/>
            <w:shd w:fill="EAF2F8"/>
            <w:tcMar>
              <w:top w:w="150" w:type="dxa"/>
              <w:start w:w="130" w:type="dxa"/>
              <w:bottom w:w="15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核验日期</w:t>
            </w:r>
          </w:p>
        </w:tc>
        <w:tc>
          <w:tcPr>
            <w:tcW w:type="dxa" w:w="6009"/>
            <w:tcMar>
              <w:top w:w="150" w:type="dxa"/>
              <w:start w:w="130" w:type="dxa"/>
              <w:bottom w:w="15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2026年9月18日</w:t>
            </w:r>
          </w:p>
        </w:tc>
      </w:tr>
      <w:tr>
        <w:tc>
          <w:tcPr>
            <w:tcW w:type="dxa" w:w="2381"/>
            <w:shd w:fill="EAF2F8"/>
            <w:tcMar>
              <w:top w:w="150" w:type="dxa"/>
              <w:start w:w="130" w:type="dxa"/>
              <w:bottom w:w="15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代码版本</w:t>
            </w:r>
          </w:p>
        </w:tc>
        <w:tc>
          <w:tcPr>
            <w:tcW w:type="dxa" w:w="6009"/>
            <w:tcMar>
              <w:top w:w="150" w:type="dxa"/>
              <w:start w:w="130" w:type="dxa"/>
              <w:bottom w:w="15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main 分支  02cea38</w:t>
            </w:r>
          </w:p>
        </w:tc>
      </w:tr>
    </w:tbl>
    <w:p>
      <w:pPr>
        <w:widowControl/>
        <w:spacing w:after="400"/>
      </w:pPr>
    </w:p>
    <w:p>
      <w:pPr>
        <w:widowControl/>
        <w:spacing w:line="348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1"/>
        </w:rPr>
        <w:t>本材料由演示负责人整理，可直接作为最终实验报告中演示流程、项目特色和验收证据的来源。文档中的测试数据来自本次重新执行的检查，页面图片来自仓库留存的最终验收截图。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280" w:after="140"/>
      </w:pPr>
      <w:r>
        <w:rPr>
          <w:rFonts w:ascii="Microsoft YaHei" w:hAnsi="Microsoft YaHei" w:eastAsia="Microsoft YaHei"/>
          <w:b/>
          <w:color w:val="000000"/>
          <w:sz w:val="32"/>
        </w:rPr>
        <w:t>一  材料概述</w:t>
      </w:r>
    </w:p>
    <w:p>
      <w:pPr>
        <w:widowControl/>
        <w:spacing w:after="140" w:line="348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本项目面向顾客、商家、骑手和管理员四种身份，实现从商品浏览、领取优惠券和提交订单，到商家处理、骑手配送以及管理员查询的完整流程。演示以一个完整订单为主线，并辅以取消恢复库存、优惠券返还、身份权限和手机适配等内容。</w:t>
      </w:r>
    </w:p>
    <w:p>
      <w:pPr>
        <w:widowControl/>
        <w:spacing w:after="140" w:line="348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课程验收时，演示负责人负责项目介绍、成员分工、功能串场和主要讲解；其他成员分别补充代码架构、TDD测试、数据库和交叉测试内容。演示视频控制在5分钟以内，现场验收可根据教师提问展开源码和测试证据。</w:t>
      </w:r>
    </w:p>
    <w:p>
      <w:pPr>
        <w:pStyle w:val="Heading1"/>
        <w:keepNext/>
        <w:widowControl/>
        <w:spacing w:before="280" w:after="140"/>
      </w:pPr>
      <w:r>
        <w:rPr>
          <w:rFonts w:ascii="Microsoft YaHei" w:hAnsi="Microsoft YaHei" w:eastAsia="Microsoft YaHei"/>
          <w:b/>
          <w:color w:val="000000"/>
          <w:sz w:val="32"/>
        </w:rPr>
        <w:t>二  五分钟演示安排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345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42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讲解重点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0:00 至 0:30</w:t>
            </w:r>
          </w:p>
        </w:tc>
        <w:tc>
          <w:tcPr>
            <w:tcW w:type="dxa" w:w="345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介绍项目并展示启动后的首页</w:t>
            </w:r>
          </w:p>
        </w:tc>
        <w:tc>
          <w:tcPr>
            <w:tcW w:type="dxa" w:w="42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说明技术栈、四种身份和完整订单主线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0:30 至 1:35</w:t>
            </w:r>
          </w:p>
        </w:tc>
        <w:tc>
          <w:tcPr>
            <w:tcW w:type="dxa" w:w="345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顾客登录、浏览店铺、领券、加购并提交订单</w:t>
            </w:r>
          </w:p>
        </w:tc>
        <w:tc>
          <w:tcPr>
            <w:tcW w:type="dxa" w:w="42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展示商品多图、地址、备注和商品金额减优惠加配送费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1:35 至 2:25</w:t>
            </w:r>
          </w:p>
        </w:tc>
        <w:tc>
          <w:tcPr>
            <w:tcW w:type="dxa" w:w="345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商家查看订单并执行确认和制作</w:t>
            </w:r>
          </w:p>
        </w:tc>
        <w:tc>
          <w:tcPr>
            <w:tcW w:type="dxa" w:w="42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展示订单状态流转、金额与收货信息快照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2:25 至 3:20</w:t>
            </w:r>
          </w:p>
        </w:tc>
        <w:tc>
          <w:tcPr>
            <w:tcW w:type="dxa" w:w="345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骑手领取订单、取餐并确认送达</w:t>
            </w:r>
          </w:p>
        </w:tc>
        <w:tc>
          <w:tcPr>
            <w:tcW w:type="dxa" w:w="42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展示任务归属、配送信息和重复操作保护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3:20 至 4:05</w:t>
            </w:r>
          </w:p>
        </w:tc>
        <w:tc>
          <w:tcPr>
            <w:tcW w:type="dxa" w:w="345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顾客查看完成状态，管理员查询同一订单</w:t>
            </w:r>
          </w:p>
        </w:tc>
        <w:tc>
          <w:tcPr>
            <w:tcW w:type="dxa" w:w="42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核对四种身份看到的订单状态和金额一致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4:05 至 4:40</w:t>
            </w:r>
          </w:p>
        </w:tc>
        <w:tc>
          <w:tcPr>
            <w:tcW w:type="dxa" w:w="345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补充取消订单、恢复库存和返还优惠券</w:t>
            </w:r>
          </w:p>
        </w:tc>
        <w:tc>
          <w:tcPr>
            <w:tcW w:type="dxa" w:w="42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说明事务一致性和重复取消不产生二次副作用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4:40 至 5:00</w:t>
            </w:r>
          </w:p>
        </w:tc>
        <w:tc>
          <w:tcPr>
            <w:tcW w:type="dxa" w:w="345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展示测试结果并总结项目特色</w:t>
            </w:r>
          </w:p>
        </w:tc>
        <w:tc>
          <w:tcPr>
            <w:tcW w:type="dxa" w:w="42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说明TDD证据、433项后端测试和57项前端测试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280" w:after="140"/>
      </w:pPr>
      <w:r>
        <w:rPr>
          <w:rFonts w:ascii="Microsoft YaHei" w:hAnsi="Microsoft YaHei" w:eastAsia="Microsoft YaHei"/>
          <w:b/>
          <w:color w:val="000000"/>
          <w:sz w:val="32"/>
        </w:rPr>
        <w:t>三  完整演示流程</w:t>
      </w:r>
    </w:p>
    <w:p>
      <w:pPr>
        <w:pStyle w:val="Heading2"/>
        <w:keepNext/>
        <w:widowControl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3 1  项目启动</w:t>
      </w:r>
    </w:p>
    <w:p>
      <w:pPr>
        <w:widowControl/>
        <w:spacing w:after="140" w:line="348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在仓库根目录运行 scripts/start-demo.ps1。脚本先执行后端测试，再准备独立的MySQL演示数据库、导入演示数据并启动前后端。终端显示 Demo ready 后，通过浏览器打开首页。</w:t>
      </w:r>
    </w:p>
    <w:p>
      <w:pPr>
        <w:pStyle w:val="Heading2"/>
        <w:keepNext/>
        <w:widowControl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3 2  顾客下单</w:t>
      </w:r>
    </w:p>
    <w:p>
      <w:pPr>
        <w:widowControl/>
        <w:spacing w:after="140" w:line="348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顾客登录后浏览营业店铺，查看商品分类、商品说明、价格、实时可用库存和多张详情图。顾客领取店铺优惠券，将商品加入购物车，在结算页面选择地址和可用优惠券、填写备注并提交订单。系统按商品金额减优惠金额加配送费计算最终金额。</w:t>
      </w:r>
    </w:p>
    <w:p>
      <w:pPr>
        <w:pStyle w:val="Heading2"/>
        <w:keepNext/>
        <w:widowControl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3 3  商家处理</w:t>
      </w:r>
    </w:p>
    <w:p>
      <w:pPr>
        <w:widowControl/>
        <w:spacing w:after="140" w:line="348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商家进入订单管理页面，查看顾客刚提交的订单及商品、收货人、金额和备注。商家依次执行确认订单和开始制作，顾客端刷新后可以看到相同的状态变化。</w:t>
      </w:r>
    </w:p>
    <w:p>
      <w:pPr>
        <w:pStyle w:val="Heading2"/>
        <w:keepNext/>
        <w:widowControl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3 4  骑手配送</w:t>
      </w:r>
    </w:p>
    <w:p>
      <w:pPr>
        <w:widowControl/>
        <w:spacing w:after="140" w:line="348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骑手登录后查看可领取的制作中订单，领取任务并查看配送地址、联系电话和备注。骑手完成取餐和确认送达，系统同时校验任务归属，阻止其他骑手操作已领取订单。</w:t>
      </w:r>
    </w:p>
    <w:p>
      <w:pPr>
        <w:pStyle w:val="Heading2"/>
        <w:keepNext/>
        <w:widowControl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3 5  结果核对</w:t>
      </w:r>
    </w:p>
    <w:p>
      <w:pPr>
        <w:widowControl/>
        <w:spacing w:after="140" w:line="348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顾客查看已完成订单，管理员查询同一订单。商品、收货地址、优惠金额、配送费和最终金额保持下单时的快照。管理员还可以查询用户、商家和店铺，并停用或启用账号。</w:t>
      </w:r>
    </w:p>
    <w:p>
      <w:pPr>
        <w:pStyle w:val="Heading2"/>
        <w:keepNext/>
        <w:widowControl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3 6  异常补充</w:t>
      </w:r>
    </w:p>
    <w:p>
      <w:pPr>
        <w:widowControl/>
        <w:spacing w:after="140" w:line="348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顾客只可取消待处理订单。首次取消会恢复库存并返还优惠券，重复取消不会再次恢复。店铺休息、库存不足或未达到起送价时，系统拒绝下单并显示明确提示。项目不接入真实支付，页面金额仅表示应付金额。</w:t>
      </w:r>
    </w:p>
    <w:p>
      <w:pPr>
        <w:pStyle w:val="Heading1"/>
        <w:keepNext/>
        <w:widowControl/>
        <w:spacing w:before="280" w:after="140"/>
      </w:pPr>
      <w:r>
        <w:rPr>
          <w:rFonts w:ascii="Microsoft YaHei" w:hAnsi="Microsoft YaHei" w:eastAsia="Microsoft YaHei"/>
          <w:b/>
          <w:color w:val="000000"/>
          <w:sz w:val="32"/>
        </w:rPr>
        <w:t>四  项目特色</w:t>
      </w:r>
    </w:p>
    <w:p>
      <w:pPr>
        <w:pStyle w:val="Heading2"/>
        <w:keepNext/>
        <w:widowControl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4 1  四种身份形成订单闭环</w:t>
      </w:r>
    </w:p>
    <w:p>
      <w:pPr>
        <w:widowControl/>
        <w:spacing w:after="140" w:line="348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系统覆盖顾客下单、商家确认与制作、骑手接单与送达、管理员查询与账号管理。身份入口、后端权限和资源归属均独立校验。</w:t>
      </w:r>
    </w:p>
    <w:p>
      <w:pPr>
        <w:pStyle w:val="Heading2"/>
        <w:keepNext/>
        <w:widowControl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4 2  测试驱动的增量开发</w:t>
      </w:r>
    </w:p>
    <w:p>
      <w:pPr>
        <w:widowControl/>
        <w:spacing w:after="140" w:line="348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核心接口和业务方法按照先明确行为、再编写失败测试、完成最小实现和运行回归测试的顺序开发。Git历史保留测试提交早于实现提交的证据。</w:t>
      </w:r>
    </w:p>
    <w:p>
      <w:pPr>
        <w:pStyle w:val="Heading2"/>
        <w:keepNext/>
        <w:widowControl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4 3  订单事务保证数据一致</w:t>
      </w:r>
    </w:p>
    <w:p>
      <w:pPr>
        <w:widowControl/>
        <w:spacing w:after="140" w:line="348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下单、扣减库存、核销优惠券、生成订单和清理购物车位于同一事务中。任一步骤失败时整体回滚，取消订单也按既定锁顺序恢复库存并返券。</w:t>
      </w:r>
    </w:p>
    <w:p>
      <w:pPr>
        <w:pStyle w:val="Heading2"/>
        <w:keepNext/>
        <w:widowControl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4 4  订单快照保留历史信息</w:t>
      </w:r>
    </w:p>
    <w:p>
      <w:pPr>
        <w:widowControl/>
        <w:spacing w:after="140" w:line="348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系统保存商品、收货信息、商品金额、优惠金额、配送费和最终金额快照。后续商品价格或地址变化不会改变历史订单。</w:t>
      </w:r>
    </w:p>
    <w:p>
      <w:pPr>
        <w:pStyle w:val="Heading2"/>
        <w:keepNext/>
        <w:widowControl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4 5  原有架构支持需求变化</w:t>
      </w:r>
    </w:p>
    <w:p>
      <w:pPr>
        <w:widowControl/>
        <w:spacing w:after="140" w:line="348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项目在用户、店铺、商品、购物车和基础订单之上继续增加商品多图、优惠券、商家订单、骑手端、管理员端和手机适配，没有更换技术栈或推翻原有分层。</w:t>
      </w:r>
    </w:p>
    <w:p>
      <w:pPr>
        <w:pStyle w:val="Heading2"/>
        <w:keepNext/>
        <w:widowControl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4 6  桌面和手机均可完成主流程</w:t>
      </w:r>
    </w:p>
    <w:p>
      <w:pPr>
        <w:widowControl/>
        <w:spacing w:after="140" w:line="348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主要页面适配约390×844和360×800的窄屏，处理长文本换行、弹窗宽度、底部按钮、点击区域、键盘访问和失败重试。</w:t>
      </w:r>
    </w:p>
    <w:p>
      <w:pPr>
        <w:pStyle w:val="Heading2"/>
        <w:keepNext/>
        <w:widowControl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4 7  部署与验收可以重复执行</w:t>
      </w:r>
    </w:p>
    <w:p>
      <w:pPr>
        <w:widowControl/>
        <w:spacing w:after="140" w:line="348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版本化SQL记录V1至V7数据库变化，启动脚本准备独立演示数据库并启动服务，自动检查脚本覆盖四种身份、订单、库存、优惠券和权限场景。</w:t>
      </w:r>
    </w:p>
    <w:p>
      <w:pPr>
        <w:pStyle w:val="Heading1"/>
        <w:keepNext/>
        <w:widowControl/>
        <w:spacing w:before="280" w:after="140"/>
      </w:pPr>
      <w:r>
        <w:rPr>
          <w:rFonts w:ascii="Microsoft YaHei" w:hAnsi="Microsoft YaHei" w:eastAsia="Microsoft YaHei"/>
          <w:b/>
          <w:color w:val="000000"/>
          <w:sz w:val="32"/>
        </w:rPr>
        <w:t>五  本次测试结果</w:t>
      </w:r>
    </w:p>
    <w:p>
      <w:pPr>
        <w:widowControl/>
        <w:spacing w:after="140" w:line="348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2026年9月18日重新执行后端Maven verify、前端Node测试和前端生产构建。下表记录本次实际结果。后端测试使用H2的MySQL兼容模式；真实MySQL业务闭环的历史检查记录保存在项目看板和对应PR中。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26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检查项目</w:t>
            </w:r>
          </w:p>
        </w:tc>
        <w:tc>
          <w:tcPr>
            <w:tcW w:type="dxa" w:w="498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实际结果</w:t>
            </w:r>
          </w:p>
        </w:tc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26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后端测试</w:t>
            </w:r>
          </w:p>
        </w:tc>
        <w:tc>
          <w:tcPr>
            <w:tcW w:type="dxa" w:w="498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433项，失败0，错误0，跳过0</w:t>
            </w:r>
          </w:p>
        </w:tc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26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后端JaCoCo检查</w:t>
            </w:r>
          </w:p>
        </w:tc>
        <w:tc>
          <w:tcPr>
            <w:tcW w:type="dxa" w:w="498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总体行覆盖率97.06%，方法覆盖率97.11%；Service门槛满足</w:t>
            </w:r>
          </w:p>
        </w:tc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26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前端测试</w:t>
            </w:r>
          </w:p>
        </w:tc>
        <w:tc>
          <w:tcPr>
            <w:tcW w:type="dxa" w:w="498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57项，失败0，跳过0</w:t>
            </w:r>
          </w:p>
        </w:tc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26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前端生产构建</w:t>
            </w:r>
          </w:p>
        </w:tc>
        <w:tc>
          <w:tcPr>
            <w:tcW w:type="dxa" w:w="498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Vite转换1715个模块并成功生成dist</w:t>
            </w:r>
          </w:p>
        </w:tc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通过</w:t>
            </w:r>
          </w:p>
        </w:tc>
      </w:tr>
    </w:tbl>
    <w:p>
      <w:pPr>
        <w:widowControl/>
        <w:spacing w:after="0"/>
      </w:pPr>
    </w:p>
    <w:p>
      <w:pPr>
        <w:widowControl/>
        <w:spacing w:after="140" w:line="348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覆盖率报告位置为 backend/target/site/jacoco/index.html。测试记录同时覆盖注册登录、地址、购物车、订单创建与取消、商家处理、优惠券核销与返还、骑手履约、管理员权限、并发库存和前端错误恢复等场景。</w:t>
      </w:r>
    </w:p>
    <w:p>
      <w:pPr>
        <w:pStyle w:val="Heading1"/>
        <w:keepNext/>
        <w:widowControl/>
        <w:spacing w:before="280" w:after="140"/>
      </w:pPr>
      <w:r>
        <w:rPr>
          <w:rFonts w:ascii="Microsoft YaHei" w:hAnsi="Microsoft YaHei" w:eastAsia="Microsoft YaHei"/>
          <w:b/>
          <w:color w:val="000000"/>
          <w:sz w:val="32"/>
        </w:rPr>
        <w:t>六  验收页面截图</w:t>
      </w:r>
    </w:p>
    <w:p>
      <w:pPr>
        <w:widowControl/>
        <w:spacing w:after="140" w:line="348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以下图片取自仓库 docs/demo-screenshots 目录，属于最终验收版本的页面记录。图片可以直接用于最终实验报告，也可在正式验收前根据现场运行版本重新截图替换。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80" w:after="200"/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图1  桌面端首页和店铺浏览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admin-ord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80" w:after="200"/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图2  桌面端管理员订单查询</w:t>
      </w:r>
    </w:p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592"/>
            <w:tcMar>
              <w:top w:w="0" w:type="dxa"/>
              <w:start w:w="70" w:type="dxa"/>
              <w:bottom w:w="4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529229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hom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52922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  <w:tcMar>
              <w:top w:w="0" w:type="dxa"/>
              <w:start w:w="70" w:type="dxa"/>
              <w:bottom w:w="4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529229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order-don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52922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92"/>
            <w:tcMar>
              <w:top w:w="2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5A5A5A"/>
                <w:sz w:val="18"/>
              </w:rPr>
              <w:t>图3  手机端顾客首页</w:t>
            </w:r>
          </w:p>
        </w:tc>
        <w:tc>
          <w:tcPr>
            <w:tcW w:type="dxa" w:w="4592"/>
            <w:tcMar>
              <w:top w:w="2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5A5A5A"/>
                <w:sz w:val="18"/>
              </w:rPr>
              <w:t>图4  手机端顾客已完成订单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592"/>
            <w:tcMar>
              <w:top w:w="0" w:type="dxa"/>
              <w:start w:w="70" w:type="dxa"/>
              <w:bottom w:w="4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529229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merchant-order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52922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  <w:tcMar>
              <w:top w:w="0" w:type="dxa"/>
              <w:start w:w="70" w:type="dxa"/>
              <w:bottom w:w="4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529229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rider-task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52922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92"/>
            <w:tcMar>
              <w:top w:w="2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5A5A5A"/>
                <w:sz w:val="18"/>
              </w:rPr>
              <w:t>图5  手机端商家订单管理</w:t>
            </w:r>
          </w:p>
        </w:tc>
        <w:tc>
          <w:tcPr>
            <w:tcW w:type="dxa" w:w="4592"/>
            <w:tcMar>
              <w:top w:w="2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5A5A5A"/>
                <w:sz w:val="18"/>
              </w:rPr>
              <w:t>图6  手机端骑手任务页面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280" w:after="140"/>
      </w:pPr>
      <w:r>
        <w:rPr>
          <w:rFonts w:ascii="Microsoft YaHei" w:hAnsi="Microsoft YaHei" w:eastAsia="Microsoft YaHei"/>
          <w:b/>
          <w:color w:val="000000"/>
          <w:sz w:val="32"/>
        </w:rPr>
        <w:t>七  验收材料目录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20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345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仓库位置或状态</w:t>
            </w:r>
          </w:p>
        </w:tc>
        <w:tc>
          <w:tcPr>
            <w:tcW w:type="dxa" w:w="37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0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项目说明</w:t>
            </w:r>
          </w:p>
        </w:tc>
        <w:tc>
          <w:tcPr>
            <w:tcW w:type="dxa" w:w="345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readme.md</w:t>
            </w:r>
          </w:p>
        </w:tc>
        <w:tc>
          <w:tcPr>
            <w:tcW w:type="dxa" w:w="37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项目介绍、技术栈、启动与测试说明</w:t>
            </w:r>
          </w:p>
        </w:tc>
      </w:tr>
      <w:tr>
        <w:tc>
          <w:tcPr>
            <w:tcW w:type="dxa" w:w="20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需求文档</w:t>
            </w:r>
          </w:p>
        </w:tc>
        <w:tc>
          <w:tcPr>
            <w:tcW w:type="dxa" w:w="345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docs/requirements.md</w:t>
            </w:r>
          </w:p>
        </w:tc>
        <w:tc>
          <w:tcPr>
            <w:tcW w:type="dxa" w:w="37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角色、功能、业务边界和验收标准</w:t>
            </w:r>
          </w:p>
        </w:tc>
      </w:tr>
      <w:tr>
        <w:tc>
          <w:tcPr>
            <w:tcW w:type="dxa" w:w="20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部署文档</w:t>
            </w:r>
          </w:p>
        </w:tc>
        <w:tc>
          <w:tcPr>
            <w:tcW w:type="dxa" w:w="345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docs/deployment.md</w:t>
            </w:r>
          </w:p>
        </w:tc>
        <w:tc>
          <w:tcPr>
            <w:tcW w:type="dxa" w:w="37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环境、数据库和部署步骤</w:t>
            </w:r>
          </w:p>
        </w:tc>
      </w:tr>
      <w:tr>
        <w:tc>
          <w:tcPr>
            <w:tcW w:type="dxa" w:w="20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本地演示指南</w:t>
            </w:r>
          </w:p>
        </w:tc>
        <w:tc>
          <w:tcPr>
            <w:tcW w:type="dxa" w:w="345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docs/demo.md</w:t>
            </w:r>
          </w:p>
        </w:tc>
        <w:tc>
          <w:tcPr>
            <w:tcW w:type="dxa" w:w="37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四种身份演示顺序和自动检查</w:t>
            </w:r>
          </w:p>
        </w:tc>
      </w:tr>
      <w:tr>
        <w:tc>
          <w:tcPr>
            <w:tcW w:type="dxa" w:w="20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接口契约</w:t>
            </w:r>
          </w:p>
        </w:tc>
        <w:tc>
          <w:tcPr>
            <w:tcW w:type="dxa" w:w="345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api-contract.md</w:t>
            </w:r>
          </w:p>
        </w:tc>
        <w:tc>
          <w:tcPr>
            <w:tcW w:type="dxa" w:w="37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REST接口、业务规则和权限约定</w:t>
            </w:r>
          </w:p>
        </w:tc>
      </w:tr>
      <w:tr>
        <w:tc>
          <w:tcPr>
            <w:tcW w:type="dxa" w:w="20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协作说明</w:t>
            </w:r>
          </w:p>
        </w:tc>
        <w:tc>
          <w:tcPr>
            <w:tcW w:type="dxa" w:w="345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CONTRIBUTING.md</w:t>
            </w:r>
          </w:p>
        </w:tc>
        <w:tc>
          <w:tcPr>
            <w:tcW w:type="dxa" w:w="37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成员分工、Git和TDD流程</w:t>
            </w:r>
          </w:p>
        </w:tc>
      </w:tr>
      <w:tr>
        <w:tc>
          <w:tcPr>
            <w:tcW w:type="dxa" w:w="20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任务看板</w:t>
            </w:r>
          </w:p>
        </w:tc>
        <w:tc>
          <w:tcPr>
            <w:tcW w:type="dxa" w:w="345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handoff.md</w:t>
            </w:r>
          </w:p>
        </w:tc>
        <w:tc>
          <w:tcPr>
            <w:tcW w:type="dxa" w:w="37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每日任务、PR、测试结果和交付状态</w:t>
            </w:r>
          </w:p>
        </w:tc>
      </w:tr>
      <w:tr>
        <w:tc>
          <w:tcPr>
            <w:tcW w:type="dxa" w:w="20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数据库ER图</w:t>
            </w:r>
          </w:p>
        </w:tc>
        <w:tc>
          <w:tcPr>
            <w:tcW w:type="dxa" w:w="345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docs/database/er-diagram.md</w:t>
            </w:r>
          </w:p>
        </w:tc>
        <w:tc>
          <w:tcPr>
            <w:tcW w:type="dxa" w:w="37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实体关系说明</w:t>
            </w:r>
          </w:p>
        </w:tc>
      </w:tr>
      <w:tr>
        <w:tc>
          <w:tcPr>
            <w:tcW w:type="dxa" w:w="20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数据字典</w:t>
            </w:r>
          </w:p>
        </w:tc>
        <w:tc>
          <w:tcPr>
            <w:tcW w:type="dxa" w:w="345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docs/database/data-dictionary.md</w:t>
            </w:r>
          </w:p>
        </w:tc>
        <w:tc>
          <w:tcPr>
            <w:tcW w:type="dxa" w:w="37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数据库字段说明</w:t>
            </w:r>
          </w:p>
        </w:tc>
      </w:tr>
      <w:tr>
        <w:tc>
          <w:tcPr>
            <w:tcW w:type="dxa" w:w="20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数据库迁移</w:t>
            </w:r>
          </w:p>
        </w:tc>
        <w:tc>
          <w:tcPr>
            <w:tcW w:type="dxa" w:w="345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database/migration/V1至V7</w:t>
            </w:r>
          </w:p>
        </w:tc>
        <w:tc>
          <w:tcPr>
            <w:tcW w:type="dxa" w:w="37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数据库迭代过程</w:t>
            </w:r>
          </w:p>
        </w:tc>
      </w:tr>
      <w:tr>
        <w:tc>
          <w:tcPr>
            <w:tcW w:type="dxa" w:w="20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后端测试</w:t>
            </w:r>
          </w:p>
        </w:tc>
        <w:tc>
          <w:tcPr>
            <w:tcW w:type="dxa" w:w="345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backend/src/test</w:t>
            </w:r>
          </w:p>
        </w:tc>
        <w:tc>
          <w:tcPr>
            <w:tcW w:type="dxa" w:w="37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接口、业务、权限和边界测试</w:t>
            </w:r>
          </w:p>
        </w:tc>
      </w:tr>
      <w:tr>
        <w:tc>
          <w:tcPr>
            <w:tcW w:type="dxa" w:w="20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前端测试</w:t>
            </w:r>
          </w:p>
        </w:tc>
        <w:tc>
          <w:tcPr>
            <w:tcW w:type="dxa" w:w="345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front-end/tests</w:t>
            </w:r>
          </w:p>
        </w:tc>
        <w:tc>
          <w:tcPr>
            <w:tcW w:type="dxa" w:w="37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页面、交互、恢复和响应式测试</w:t>
            </w:r>
          </w:p>
        </w:tc>
      </w:tr>
      <w:tr>
        <w:tc>
          <w:tcPr>
            <w:tcW w:type="dxa" w:w="20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覆盖率报告</w:t>
            </w:r>
          </w:p>
        </w:tc>
        <w:tc>
          <w:tcPr>
            <w:tcW w:type="dxa" w:w="345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backend/target/site/jacoco/index.html</w:t>
            </w:r>
          </w:p>
        </w:tc>
        <w:tc>
          <w:tcPr>
            <w:tcW w:type="dxa" w:w="37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本次后端覆盖率结果</w:t>
            </w:r>
          </w:p>
        </w:tc>
      </w:tr>
      <w:tr>
        <w:tc>
          <w:tcPr>
            <w:tcW w:type="dxa" w:w="20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页面截图</w:t>
            </w:r>
          </w:p>
        </w:tc>
        <w:tc>
          <w:tcPr>
            <w:tcW w:type="dxa" w:w="345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docs/demo-screenshots</w:t>
            </w:r>
          </w:p>
        </w:tc>
        <w:tc>
          <w:tcPr>
            <w:tcW w:type="dxa" w:w="37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桌面端和手机端验收图片</w:t>
            </w:r>
          </w:p>
        </w:tc>
      </w:tr>
      <w:tr>
        <w:tc>
          <w:tcPr>
            <w:tcW w:type="dxa" w:w="20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演示视频</w:t>
            </w:r>
          </w:p>
        </w:tc>
        <w:tc>
          <w:tcPr>
            <w:tcW w:type="dxa" w:w="345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演示视频-第XX组</w:t>
            </w:r>
          </w:p>
        </w:tc>
        <w:tc>
          <w:tcPr>
            <w:tcW w:type="dxa" w:w="37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不长于5分钟的项目介绍和运行演示</w:t>
            </w:r>
          </w:p>
        </w:tc>
      </w:tr>
      <w:tr>
        <w:tc>
          <w:tcPr>
            <w:tcW w:type="dxa" w:w="20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演示PPT</w:t>
            </w:r>
          </w:p>
        </w:tc>
        <w:tc>
          <w:tcPr>
            <w:tcW w:type="dxa" w:w="345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课程验收演示PPT</w:t>
            </w:r>
          </w:p>
        </w:tc>
        <w:tc>
          <w:tcPr>
            <w:tcW w:type="dxa" w:w="37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项目特色、成员分工和现场讲解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280" w:after="140"/>
      </w:pPr>
      <w:r>
        <w:rPr>
          <w:rFonts w:ascii="Microsoft YaHei" w:hAnsi="Microsoft YaHei" w:eastAsia="Microsoft YaHei"/>
          <w:b/>
          <w:color w:val="000000"/>
          <w:sz w:val="32"/>
        </w:rPr>
        <w:t>八  演示负责人工作说明</w:t>
      </w:r>
    </w:p>
    <w:p>
      <w:pPr>
        <w:widowControl/>
        <w:spacing w:after="140" w:line="348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本人负责项目演示流程设计、演示视频录制与整理、演示PPT制作以及课程验收时的主要讲解。演示内容围绕项目介绍、成员分工、四种身份、完整下单流程、项目特色和TDD开发过程展开。</w:t>
      </w:r>
    </w:p>
    <w:p>
      <w:pPr>
        <w:widowControl/>
        <w:spacing w:after="140" w:line="348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验收准备过程中，我根据需求文档、本地演示指南和最终测试记录整理讲解内容，通过预演控制展示时间，并检查身份切换、订单状态衔接、金额快照和手机页面展示。本文档汇总了可以直接写入最终实验报告的演示流程、项目特色、测试数据、页面截图和材料目录。</w:t>
      </w:r>
    </w:p>
    <w:p>
      <w:pPr>
        <w:pStyle w:val="Heading1"/>
        <w:keepNext/>
        <w:widowControl/>
        <w:spacing w:before="280" w:after="140"/>
      </w:pPr>
      <w:r>
        <w:rPr>
          <w:rFonts w:ascii="Microsoft YaHei" w:hAnsi="Microsoft YaHei" w:eastAsia="Microsoft YaHei"/>
          <w:b/>
          <w:color w:val="000000"/>
          <w:sz w:val="32"/>
        </w:rPr>
        <w:t>九  现场验收检查清单</w:t>
      </w:r>
    </w:p>
    <w:p>
      <w:pPr>
        <w:pStyle w:val="ListBullet"/>
        <w:widowControl/>
        <w:spacing w:after="80" w:line="312" w:lineRule="auto"/>
        <w:ind w:left="397" w:hanging="198"/>
      </w:pPr>
      <w:r>
        <w:rPr>
          <w:rFonts w:ascii="Microsoft YaHei" w:hAnsi="Microsoft YaHei" w:eastAsia="Microsoft YaHei"/>
          <w:b w:val="0"/>
          <w:color w:val="000000"/>
          <w:sz w:val="21"/>
        </w:rPr>
        <w:t>启动前确认JDK 21、Node.js、Python 3和MySQL可用，演示脚本可以正常运行。</w:t>
      </w:r>
    </w:p>
    <w:p>
      <w:pPr>
        <w:pStyle w:val="ListBullet"/>
        <w:widowControl/>
        <w:spacing w:after="80" w:line="312" w:lineRule="auto"/>
        <w:ind w:left="397" w:hanging="198"/>
      </w:pPr>
      <w:r>
        <w:rPr>
          <w:rFonts w:ascii="Microsoft YaHei" w:hAnsi="Microsoft YaHei" w:eastAsia="Microsoft YaHei"/>
          <w:b w:val="0"/>
          <w:color w:val="000000"/>
          <w:sz w:val="21"/>
        </w:rPr>
        <w:t>提前准备顾客、商家、骑手和管理员的虚构演示账号，不在视频、PPT或截图中显示真实密码。</w:t>
      </w:r>
    </w:p>
    <w:p>
      <w:pPr>
        <w:pStyle w:val="ListBullet"/>
        <w:widowControl/>
        <w:spacing w:after="80" w:line="312" w:lineRule="auto"/>
        <w:ind w:left="397" w:hanging="198"/>
      </w:pPr>
      <w:r>
        <w:rPr>
          <w:rFonts w:ascii="Microsoft YaHei" w:hAnsi="Microsoft YaHei" w:eastAsia="Microsoft YaHei"/>
          <w:b w:val="0"/>
          <w:color w:val="000000"/>
          <w:sz w:val="21"/>
        </w:rPr>
        <w:t>准备一个营业店铺、可售商品、有效优惠券和收货地址，确保5分钟内能够完成主流程。</w:t>
      </w:r>
    </w:p>
    <w:p>
      <w:pPr>
        <w:pStyle w:val="ListBullet"/>
        <w:widowControl/>
        <w:spacing w:after="80" w:line="312" w:lineRule="auto"/>
        <w:ind w:left="397" w:hanging="198"/>
      </w:pPr>
      <w:r>
        <w:rPr>
          <w:rFonts w:ascii="Microsoft YaHei" w:hAnsi="Microsoft YaHei" w:eastAsia="Microsoft YaHei"/>
          <w:b w:val="0"/>
          <w:color w:val="000000"/>
          <w:sz w:val="21"/>
        </w:rPr>
        <w:t>演示时先完成主订单，不因补充异常场景打断顾客、商家和骑手之间的状态衔接。</w:t>
      </w:r>
    </w:p>
    <w:p>
      <w:pPr>
        <w:pStyle w:val="ListBullet"/>
        <w:widowControl/>
        <w:spacing w:after="80" w:line="312" w:lineRule="auto"/>
        <w:ind w:left="397" w:hanging="198"/>
      </w:pPr>
      <w:r>
        <w:rPr>
          <w:rFonts w:ascii="Microsoft YaHei" w:hAnsi="Microsoft YaHei" w:eastAsia="Microsoft YaHei"/>
          <w:b w:val="0"/>
          <w:color w:val="000000"/>
          <w:sz w:val="21"/>
        </w:rPr>
        <w:t>现场保留源码、需求文档、部署文档、测试结果、覆盖率报告、Git提交历史和分支图。</w:t>
      </w:r>
    </w:p>
    <w:p>
      <w:pPr>
        <w:pStyle w:val="ListBullet"/>
        <w:widowControl/>
        <w:spacing w:after="80" w:line="312" w:lineRule="auto"/>
        <w:ind w:left="397" w:hanging="198"/>
      </w:pPr>
      <w:r>
        <w:rPr>
          <w:rFonts w:ascii="Microsoft YaHei" w:hAnsi="Microsoft YaHei" w:eastAsia="Microsoft YaHei"/>
          <w:b w:val="0"/>
          <w:color w:val="000000"/>
          <w:sz w:val="21"/>
        </w:rPr>
        <w:t>三名成员均熟悉自己负责模块，能够解释主要接口、测试断言、数据库变化和需求变更。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A5A5A"/>
        <w:sz w:val="17"/>
      </w:rPr>
      <w:t xml:space="preserve">第 </w:t>
    </w:r>
    <w:fldSimple w:instr="PAGE"/>
    <w:r>
      <w:rPr>
        <w:rFonts w:ascii="Microsoft YaHei" w:hAnsi="Microsoft YaHei" w:eastAsia="Microsoft YaHei"/>
        <w:b w:val="0"/>
        <w:color w:val="5A5A5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b w:val="0"/>
        <w:color w:val="5A5A5A"/>
        <w:sz w:val="17"/>
      </w:rPr>
      <w:t>轻量级外卖服务平台  验收材料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轻量级外卖服务平台验收材料</dc:title>
  <dc:subject>演示流程 项目特色 测试证据 验收附件</dc:subject>
  <ns0:keywords>软件工程综合实践 验收 演示 TDD</ns0:keywords>
  <dc:description>generated by python-docx</dc:description>
  <ns0:revision>1</ns0:revision>
  <ns2:created xsi:type="dcterms:W3CDTF">2013-12-23T23:15:00Z</ns2:created>
  <ns2:modified xsi:type="dcterms:W3CDTF">2013-12-23T23:15:00Z</ns2:modified>
  <ns0:category/>
</ns0:coreProperties>
</file>