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Investigational Plan CT-200: Pivotal Study of the CardioTrace Implantable Cardiac Monitor</w:t>
      </w:r>
    </w:p>
    <w:p>
      <w:r>
        <w:t xml:space="preserve">Synthetic document for evaluation. It describes no real study.</w:t>
      </w:r>
    </w:p>
    <w:p>
      <w:pPr>
        <w:pStyle w:val="Heading1"/>
      </w:pPr>
      <w:r>
        <w:t xml:space="preserve">Purpose</w:t>
      </w:r>
    </w:p>
    <w:p>
      <w:r>
        <w:t xml:space="preserve">CardioTrace is a subcutaneous implantable cardiac monitor intended to detect atrial fibrillation in patients with cryptogenic stroke. The study objective is to show that the 12-month atrial fibrillation detection rate exceeds 7 percent. The investigation lasts 24 months. The sponsor has determined that CardioTrace is a significant risk device and has an approved IDE.</w:t>
      </w:r>
    </w:p>
    <w:p>
      <w:pPr>
        <w:pStyle w:val="Heading1"/>
      </w:pPr>
      <w:r>
        <w:t xml:space="preserve">Protocol</w:t>
      </w:r>
    </w:p>
    <w:p>
      <w:r>
        <w:t xml:space="preserve">This is a single-arm study. Each subject receives CardioTrace within 90 days after the index stroke, and an independent core laboratory adjudicates every detected episode of atrial fibrillation lasting 2 minutes or longer. Assuming a true 12-month detection rate of 12 percent, a sample of 400 subjects gives 90 percent power to show that the rate exceeds 7 percent, the rate seen with external monitoring, at a one-sided alpha of 0.025.</w:t>
      </w:r>
    </w:p>
    <w:p>
      <w:pPr>
        <w:pStyle w:val="Heading1"/>
      </w:pPr>
      <w:r>
        <w:t xml:space="preserve">Risk Analysis</w:t>
      </w:r>
    </w:p>
    <w:p>
      <w:r>
        <w:t xml:space="preserve">Risks include infection at the insertion site, device migration, and skin erosion. Each is minimized by sterile technique, a standardized pocket depth, and follow-up visits at 7 days, 3 months, and 12 months.</w:t>
      </w:r>
    </w:p>
    <w:p>
      <w:r>
        <w:t xml:space="preserve">The investigation is justified because undetected atrial fibrillation after cryptogenic stroke leaves patients without anticoagulation that can prevent a second stroke. The study enrolls 400 men and women aged 40 to 85 years who had a cryptogenic ischemic stroke within the past 90 days.</w:t>
      </w:r>
    </w:p>
    <w:p>
      <w:pPr>
        <w:pStyle w:val="Heading1"/>
      </w:pPr>
      <w:r>
        <w:t xml:space="preserve">Device Description</w:t>
      </w:r>
    </w:p>
    <w:p>
      <w:r>
        <w:t xml:space="preserve">The device is a 1.2 cc titanium housing with two sensing electrodes, a lithium battery, and a Bluetooth transmitter. It is inserted through a 10 mm incision under local anesthesia.</w:t>
      </w:r>
    </w:p>
    <w:p>
      <w:r>
        <w:t xml:space="preserve">The electrodes record a single-lead subcutaneous ECG, and an onboard algorithm flags irregular R-R intervals as possible atrial fibrillation and transmits the recordings to the clinic each night. No change to the device is planned during the investigation.</w:t>
      </w:r>
    </w:p>
    <w:p>
      <w:pPr>
        <w:pStyle w:val="Heading1"/>
      </w:pPr>
      <w:r>
        <w:t xml:space="preserve">Monitoring</w:t>
      </w:r>
    </w:p>
    <w:p>
      <w:r>
        <w:t xml:space="preserve">Monitors follow the sponsor's written monitoring procedures, SOP CT-MON-01, and visit each site after its first subject and then every 3 months to verify source data and device accountability. The lead monitor is Karen Wu, CardioTrace Inc., 900 Innovation Way, Minneapolis, MN 55413. Appendix E lists the name and address of every monitor.</w:t>
      </w:r>
    </w:p>
    <w:p>
      <w:pPr>
        <w:pStyle w:val="Heading1"/>
      </w:pPr>
      <w:r>
        <w:t xml:space="preserve">Device Labeling</w:t>
      </w:r>
    </w:p>
    <w:p>
      <w:r>
        <w:t xml:space="preserve">Each device carton is labeled with the manufacturer's name and address, the lot number, and the statement "For Research Use Only." Contraindications, warnings, and precautions are given in the Instructions for Use.</w:t>
      </w:r>
    </w:p>
    <w:p>
      <w:pPr>
        <w:pStyle w:val="Heading1"/>
      </w:pPr>
      <w:r>
        <w:t xml:space="preserve">Informed Consent Materials</w:t>
      </w:r>
    </w:p>
    <w:p>
      <w:r>
        <w:t xml:space="preserve">Appendix C contains the consent form and the patient information booklet that subjects receive before they agree to take part.</w:t>
      </w:r>
    </w:p>
    <w:p>
      <w:pPr>
        <w:pStyle w:val="Heading1"/>
      </w:pPr>
      <w:r>
        <w:t xml:space="preserve">IRB Information</w:t>
      </w:r>
    </w:p>
    <w:p>
      <w:r>
        <w:t xml:space="preserve">Appendix D lists the name, location, and chairperson of every IRB that has reviewed or will review the investigation, with a copy of each IRB's approval letter.</w:t>
      </w:r>
    </w:p>
    <w:p>
      <w:pPr>
        <w:pStyle w:val="Heading1"/>
      </w:pPr>
      <w:r>
        <w:t xml:space="preserve">Other Institutions</w:t>
      </w:r>
    </w:p>
    <w:p>
      <w:r>
        <w:t xml:space="preserve">ECG adjudication is done at Heartline Core Laboratory, 30 Elm Street, Boston, MA 02115. No other institution outside the IRB list takes part.</w:t>
      </w:r>
    </w:p>
    <w:p>
      <w:pPr>
        <w:pStyle w:val="Heading1"/>
      </w:pPr>
      <w:r>
        <w:t xml:space="preserve">Adverse Device Effect Reporting by Investigators</w:t>
      </w:r>
    </w:p>
    <w:p>
      <w:r>
        <w:t xml:space="preserve">Investigators report unanticipated adverse device effects to the sponsor and to the reviewing IRB within 30 calendar days after the investigator first learns of the effect.</w:t>
      </w:r>
    </w:p>
    <w:p>
      <w:pPr>
        <w:pStyle w:val="Heading1"/>
      </w:pPr>
      <w:r>
        <w:t xml:space="preserve">Record Retention</w:t>
      </w:r>
    </w:p>
    <w:p>
      <w:r>
        <w:t xml:space="preserve">Investigators and the sponsor keep all study records for one year after the investigation is completed.</w:t>
      </w:r>
    </w:p>
    <w:p>
      <w:pPr>
        <w:pStyle w:val="Heading1"/>
      </w:pPr>
      <w:r>
        <w:t xml:space="preserve">Additional Records and Reports</w:t>
      </w:r>
    </w:p>
    <w:p>
      <w:r>
        <w:t xml:space="preserve">Beyond the records and reports required by 21 CFR 812 subpart G, the sponsor keeps the core laboratory's adjudication records and sends investigators a quarterly summary of device transmissions.</w:t>
      </w:r>
    </w:p>
  </w:body>
</w:document>
</file>

<file path=word/styles.xml><?xml version="1.0" encoding="utf-8"?>
<w:styles xmlns:w="http://schemas.openxmlformats.org/wordprocessingml/2006/main">
  <w:style w:type="paragraph" w:default="1" w:styleId="Normal">
    <w:name w:val="Normal"/>
  </w:style>
  <w:style w:type="paragraph" w:styleId="Title">
    <w:name w:val="Title"/>
    <w:basedOn w:val="Normal"/>
    <w:rPr>
      <w:b/>
      <w:sz w:val="40"/>
    </w:rPr>
  </w:style>
  <w:style w:type="paragraph" w:styleId="Heading1">
    <w:name w:val="heading 1"/>
    <w:basedOn w:val="Normal"/>
    <w:pPr>
      <w:outlineLvl w:val="0"/>
    </w:pPr>
    <w:rPr>
      <w:b/>
      <w:sz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