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Protocol XYZ-9-101: A Phase 1 First-in-Human Single and Multiple Ascending Dose Study of XYZ-9 in Healthy Adults</w:t>
      </w:r>
    </w:p>
    <w:p>
      <w:r>
        <w:t xml:space="preserve">Synthetic document for evaluation. It describes no real study.</w:t>
      </w:r>
    </w:p>
    <w:p>
      <w:pPr>
        <w:pStyle w:val="Heading1"/>
      </w:pPr>
      <w:r>
        <w:t xml:space="preserve">Study Overview</w:t>
      </w:r>
    </w:p>
    <w:p>
      <w:r>
        <w:t xml:space="preserve">This is a single-site, randomized, double-blind, placebo-controlled study of XYZ-9 in 64 healthy adults. Part A tests single ascending doses in five cohorts. Part B tests 14 days of once-daily dosing in three cohorts.</w:t>
      </w:r>
    </w:p>
    <w:p>
      <w:r>
        <w:t xml:space="preserve">The objective is to assess the safety, tolerability, and pharmacokinetics of single and multiple oral doses of XYZ-9.</w:t>
      </w:r>
    </w:p>
    <w:p>
      <w:pPr>
        <w:pStyle w:val="Heading1"/>
      </w:pPr>
      <w:r>
        <w:t xml:space="preserve">Investigator and Facilities</w:t>
      </w:r>
    </w:p>
    <w:p>
      <w:r>
        <w:t xml:space="preserve">The investigator is Dr. Samuel Reyes, Harborview Clinical Pharmacology Unit, 88 Pier Street, Baltimore, MD 21202, whose curriculum vitae is in Appendix 1. Subinvestigators are Dr. Ana Costa and Dr. Mark Liu. The study is conducted at the Harborview unit and reviewed by Chesapeake IRB, 15 Bay Road, Annapolis, MD 21401.</w:t>
      </w:r>
    </w:p>
    <w:p>
      <w:pPr>
        <w:pStyle w:val="Heading1"/>
      </w:pPr>
      <w:r>
        <w:t xml:space="preserve">Subject Selection</w:t>
      </w:r>
    </w:p>
    <w:p>
      <w:r>
        <w:t xml:space="preserve">Healthy men and women aged 18 to 55 years with a body mass index of 18 to 30 kg/m2 are eligible. Subjects are excluded for any clinically significant disease, an abnormal ECG or QTcF above 450 ms, abnormal liver or kidney function, pregnancy or breastfeeding, or use of any medication within 14 days.</w:t>
      </w:r>
    </w:p>
    <w:p>
      <w:pPr>
        <w:pStyle w:val="Heading1"/>
      </w:pPr>
      <w:r>
        <w:t xml:space="preserve">Dose Selection</w:t>
      </w:r>
    </w:p>
    <w:p>
      <w:r>
        <w:t xml:space="preserve">The starting single dose of 10 mg is one tenth of the human equivalent of the no-observed-adverse-effect level in the 28-day rat toxicity study. The planned maximum single dose is 400 mg, and the planned maximum multiple dose is 200 mg once daily for 14 days, which is the longest exposure of any subject.</w:t>
      </w:r>
    </w:p>
    <w:p>
      <w:pPr>
        <w:pStyle w:val="Heading1"/>
      </w:pPr>
      <w:r>
        <w:t xml:space="preserve">Study Start</w:t>
      </w:r>
    </w:p>
    <w:p>
      <w:r>
        <w:t xml:space="preserve">To keep the cohort schedule, screening and first dosing begin on the date the IND is submitted to FDA. The clinical unit has reserved beds for Cohort A1 starting that week.</w:t>
      </w:r>
    </w:p>
    <w:p>
      <w:pPr>
        <w:pStyle w:val="Heading1"/>
      </w:pPr>
      <w:r>
        <w:t xml:space="preserve">Dose Escalation</w:t>
      </w:r>
    </w:p>
    <w:p>
      <w:r>
        <w:t xml:space="preserve">Each cohort has eight subjects, six on XYZ-9 and two on placebo, with two sentinel subjects dosed 48 hours before the rest. A safety review committee reviews blinded safety and pharmacokinetic data before each escalation. The highest planned single dose is 400 mg.</w:t>
      </w:r>
    </w:p>
    <w:p>
      <w:pPr>
        <w:pStyle w:val="Heading1"/>
      </w:pPr>
      <w:r>
        <w:t xml:space="preserve">Expedited Safety Reporting</w:t>
      </w:r>
    </w:p>
    <w:p>
      <w:r>
        <w:t xml:space="preserve">Unexpected fatal or life-threatening suspected adverse reactions are reported to FDA within 15 calendar days after the sponsor's initial receipt of the information, together with other IND safety reports.</w:t>
      </w:r>
    </w:p>
    <w:p>
      <w:pPr>
        <w:pStyle w:val="Heading1"/>
      </w:pPr>
      <w:r>
        <w:t xml:space="preserve">Protocol Amendments</w:t>
      </w:r>
    </w:p>
    <w:p>
      <w:r>
        <w:t xml:space="preserve">Increases in dose or the addition of cohorts take effect as soon as the sponsor's medical monitor approves them. The sponsor submits these amendments to FDA and to the IRB with the next IND annual report.</w:t>
      </w:r>
    </w:p>
    <w:p>
      <w:pPr>
        <w:pStyle w:val="Heading1"/>
      </w:pPr>
      <w:r>
        <w:t xml:space="preserve">Volunteer Recruitment</w:t>
      </w:r>
    </w:p>
    <w:p>
      <w:r>
        <w:t xml:space="preserve">Advertisements describe XYZ-9 as a safe and effective new treatment for chronic pain and invite volunteers to be among the first to benefit from it.</w:t>
      </w:r>
    </w:p>
    <w:p>
      <w:pPr>
        <w:pStyle w:val="Heading1"/>
      </w:pPr>
      <w:r>
        <w:t xml:space="preserve">Pharmacokinetic Sampling</w:t>
      </w:r>
    </w:p>
    <w:p>
      <w:r>
        <w:t xml:space="preserve">Blood samples for plasma XYZ-9 concentrations are drawn before dosing and at 0.5, 1, 2, 4, 8, 12, 24, and 48 hours after dosing. Samples are analyzed with a validated LC-MS/MS method.</w:t>
      </w:r>
    </w:p>
    <w:p>
      <w:pPr>
        <w:pStyle w:val="Heading1"/>
      </w:pPr>
      <w:r>
        <w:t xml:space="preserve">Safety Monitoring</w:t>
      </w:r>
    </w:p>
    <w:p>
      <w:r>
        <w:t xml:space="preserve">Subjects stay in the unit for 72 hours after each single dose and through Day 16 in Part B. Vital signs and 12-lead ECGs are recorded before dosing and at 1, 2, 4, 8, 24, and 48 hours after dosing, with continuous telemetry for the first 24 hours. Hematology, serum chemistry, and urinalysis are done at screening, on Days 2 and 7, and at follow-up. Dosing stops if two subjects in a cohort have the same severe adverse event or if any subject has a serious adverse event related to XYZ-9.</w:t>
      </w:r>
    </w:p>
  </w:body>
</w:document>
</file>

<file path=word/styles.xml><?xml version="1.0" encoding="utf-8"?>
<w:styles xmlns:w="http://schemas.openxmlformats.org/wordprocessingml/2006/main">
  <w:style w:type="paragraph" w:default="1" w:styleId="Normal">
    <w:name w:val="Normal"/>
  </w:style>
  <w:style w:type="paragraph" w:styleId="Title">
    <w:name w:val="Title"/>
    <w:basedOn w:val="Normal"/>
    <w:rPr>
      <w:b/>
      <w:sz w:val="40"/>
    </w:rPr>
  </w:style>
  <w:style w:type="paragraph" w:styleId="Heading1">
    <w:name w:val="heading 1"/>
    <w:basedOn w:val="Normal"/>
    <w:pPr>
      <w:outlineLvl w:val="0"/>
    </w:pPr>
    <w:rPr>
      <w:b/>
      <w:sz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