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Investigational Plan GS-110: Feasibility Study of the GlucoSense Implanted Continuous Glucose Sensor</w:t>
      </w:r>
    </w:p>
    <w:p>
      <w:r>
        <w:t xml:space="preserve">Synthetic document for evaluation. It describes no real study.</w:t>
      </w:r>
    </w:p>
    <w:p>
      <w:pPr>
        <w:pStyle w:val="Heading1"/>
      </w:pPr>
      <w:r>
        <w:t xml:space="preserve">Purpose</w:t>
      </w:r>
    </w:p>
    <w:p>
      <w:r>
        <w:t xml:space="preserve">GlucoSense is a fully implanted glucose sensor intended for adults with type 1 diabetes. This feasibility study enrolls 30 subjects for 180 days to estimate sensor accuracy against laboratory reference glucose. The investigation is expected to last 18 months from first implant to final report: 6 months of enrollment, 180 days of follow-up per subject, and 6 months for analysis and reporting.</w:t>
      </w:r>
    </w:p>
    <w:p>
      <w:pPr>
        <w:pStyle w:val="Heading1"/>
      </w:pPr>
      <w:r>
        <w:t xml:space="preserve">Regulatory Pathway</w:t>
      </w:r>
    </w:p>
    <w:p>
      <w:r>
        <w:t xml:space="preserve">The sponsor has classified the GlucoSense implanted sensor as a significant risk device. The study will start when each site's IRB approves it, and the sponsor will not submit an IDE application to FDA.</w:t>
      </w:r>
    </w:p>
    <w:p>
      <w:pPr>
        <w:pStyle w:val="Heading1"/>
      </w:pPr>
      <w:r>
        <w:t xml:space="preserve">Study Procedures</w:t>
      </w:r>
    </w:p>
    <w:p>
      <w:r>
        <w:t xml:space="preserve">The sensor is implanted in the upper arm in an outpatient procedure. Subjects attend in-clinic sessions on Days 7, 30, 90, and 180 with venous sampling every 15 minutes for 8 hours.</w:t>
      </w:r>
    </w:p>
    <w:p>
      <w:r>
        <w:t xml:space="preserve">Accuracy is reported as the mean absolute relative difference between paired sensor and laboratory glucose values, with a 95 percent confidence interval. Thirty subjects give about 3,900 paired values, enough to estimate that difference within 2 percentage points.</w:t>
      </w:r>
    </w:p>
    <w:p>
      <w:pPr>
        <w:pStyle w:val="Heading1"/>
      </w:pPr>
      <w:r>
        <w:t xml:space="preserve">Risk Analysis</w:t>
      </w:r>
    </w:p>
    <w:p>
      <w:r>
        <w:t xml:space="preserve">Risks include infection, bleeding, or bruising at the insertion site, sensor extrusion, and wrong insulin doses based on inaccurate readings. These are minimized by sterile implantation, wound checks on Day 7, and fingerstick confirmation of every reading before an insulin dose.</w:t>
      </w:r>
    </w:p>
    <w:p>
      <w:r>
        <w:t xml:space="preserve">The investigation is justified because a fully implanted sensor could remove the daily burden of external sensors. Subjects are 30 men and women aged 18 to 65 years who have had type 1 diabetes for at least 2 years.</w:t>
      </w:r>
    </w:p>
    <w:p>
      <w:pPr>
        <w:pStyle w:val="Heading1"/>
      </w:pPr>
      <w:r>
        <w:t xml:space="preserve">Device Description</w:t>
      </w:r>
    </w:p>
    <w:p>
      <w:r>
        <w:t xml:space="preserve">The sensor is a 3.5 by 18 mm polymer cylinder holding a fluorescent glucose-indicating hydrogel, a light-emitting diode, and a photodetector. An external reader worn over the site powers the sensor and converts its fluorescence signal to a glucose value every 5 minutes. No change to the device is planned during the investigation.</w:t>
      </w:r>
    </w:p>
    <w:p>
      <w:pPr>
        <w:pStyle w:val="Heading1"/>
      </w:pPr>
      <w:r>
        <w:t xml:space="preserve">Monitoring</w:t>
      </w:r>
    </w:p>
    <w:p>
      <w:r>
        <w:t xml:space="preserve">Site monitoring is arranged separately by the sponsor's clinical operations group and is not described in this investigational plan.</w:t>
      </w:r>
    </w:p>
    <w:p>
      <w:pPr>
        <w:pStyle w:val="Heading1"/>
      </w:pPr>
      <w:r>
        <w:t xml:space="preserve">Labeling</w:t>
      </w:r>
    </w:p>
    <w:p>
      <w:r>
        <w:t xml:space="preserve">Each sensor package bears the name and place of business of GlucoSense Inc., 12 Harbor Drive, San Diego, CA 92101, the quantity of contents, and the statement "CAUTION—Investigational device. Limited by Federal (or United States) law to investigational use." The Instructions for Use describe all relevant contraindications, hazards, adverse effects, interfering substances, warnings, and precautions. Appendix B contains copies of all labeling.</w:t>
      </w:r>
    </w:p>
    <w:p>
      <w:pPr>
        <w:pStyle w:val="Heading1"/>
      </w:pPr>
      <w:r>
        <w:t xml:space="preserve">Informed Consent Materials</w:t>
      </w:r>
    </w:p>
    <w:p>
      <w:r>
        <w:t xml:space="preserve">Appendix C contains the consent form and the subject diary instructions given to subjects during the consent discussion.</w:t>
      </w:r>
    </w:p>
    <w:p>
      <w:pPr>
        <w:pStyle w:val="Heading1"/>
      </w:pPr>
      <w:r>
        <w:t xml:space="preserve">IRB Information</w:t>
      </w:r>
    </w:p>
    <w:p>
      <w:r>
        <w:t xml:space="preserve">Appendix D lists the name, location, and chairperson of each site's IRB, with a copy of each IRB's approval letter.</w:t>
      </w:r>
    </w:p>
    <w:p>
      <w:pPr>
        <w:pStyle w:val="Heading1"/>
      </w:pPr>
      <w:r>
        <w:t xml:space="preserve">Other Institutions</w:t>
      </w:r>
    </w:p>
    <w:p>
      <w:r>
        <w:t xml:space="preserve">Reference glucose is measured at Pacific Reference Laboratory, 400 Mesa Road, San Diego, CA 92121. No other institution takes part.</w:t>
      </w:r>
    </w:p>
    <w:p>
      <w:pPr>
        <w:pStyle w:val="Heading1"/>
      </w:pPr>
      <w:r>
        <w:t xml:space="preserve">Protocol Deviations</w:t>
      </w:r>
    </w:p>
    <w:p>
      <w:r>
        <w:t xml:space="preserve">If an investigator departs from the plan to protect a subject in an emergency, the deviation is listed in the investigator's final report to the sponsor.</w:t>
      </w:r>
    </w:p>
    <w:p>
      <w:pPr>
        <w:pStyle w:val="Heading1"/>
      </w:pPr>
      <w:r>
        <w:t xml:space="preserve">Subject Costs</w:t>
      </w:r>
    </w:p>
    <w:p>
      <w:r>
        <w:t xml:space="preserve">Subjects buy the sensor at the planned commercial list price of $2,400, which includes the sponsor's projected profit margin.</w:t>
      </w:r>
    </w:p>
    <w:p>
      <w:pPr>
        <w:pStyle w:val="Heading1"/>
      </w:pPr>
      <w:r>
        <w:t xml:space="preserve">Additional Records and Reports</w:t>
      </w:r>
    </w:p>
    <w:p>
      <w:r>
        <w:t xml:space="preserve">Beyond the records and reports required by 21 CFR 812 subpart G, sites keep the reader download files and the subjects' fingerstick logs.</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