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Informed Consent and IRB Procedures: A Phase 2 Gene Therapy Study of GT-301 in Hemophilia B</w:t>
      </w:r>
    </w:p>
    <w:p>
      <w:r>
        <w:t xml:space="preserve">Synthetic document for evaluation. It describes no real study.</w:t>
      </w:r>
    </w:p>
    <w:p>
      <w:pPr>
        <w:pStyle w:val="Heading1"/>
      </w:pPr>
      <w:r>
        <w:t xml:space="preserve">Purpose and Procedures</w:t>
      </w:r>
    </w:p>
    <w:p>
      <w:r>
        <w:t xml:space="preserve">This research study tests whether a single infusion of an experimental gene therapy, GT-301, raises factor IX activity in adults with hemophilia B. You will be in the study for 5 years, with weekly visits for the first 12 weeks and then visits every 3 months. This study is an applicable clinical trial under 42 U.S.C. 282(j).</w:t>
      </w:r>
    </w:p>
    <w:p>
      <w:pPr>
        <w:pStyle w:val="Heading1"/>
      </w:pPr>
      <w:r>
        <w:t xml:space="preserve">Risks</w:t>
      </w:r>
    </w:p>
    <w:p>
      <w:r>
        <w:t xml:space="preserve">GT-301 may cause liver inflammation, infusion reactions, and an immune response against the vector. The long-term effects of gene therapy are not known.</w:t>
      </w:r>
    </w:p>
    <w:p>
      <w:r>
        <w:t xml:space="preserve">GT-301 could harm an unborn child in ways that are not yet known. You and any partner must use effective birth control for 12 months after the infusion.</w:t>
      </w:r>
    </w:p>
    <w:p>
      <w:pPr>
        <w:pStyle w:val="Heading1"/>
      </w:pPr>
      <w:r>
        <w:t xml:space="preserve">Possible Benefits</w:t>
      </w:r>
    </w:p>
    <w:p>
      <w:r>
        <w:t xml:space="preserve">GT-301 may raise your factor IX activity enough to reduce bleeding episodes, but this is not certain. What we learn may help other people with hemophilia B.</w:t>
      </w:r>
    </w:p>
    <w:p>
      <w:pPr>
        <w:pStyle w:val="Heading1"/>
      </w:pPr>
      <w:r>
        <w:t xml:space="preserve">Confidentiality</w:t>
      </w:r>
    </w:p>
    <w:p>
      <w:r>
        <w:t xml:space="preserve">Your study records are identified by a code number and kept confidential to the extent permitted by law. The Food and Drug Administration, the sponsor, and the IRB may inspect records that identify you.</w:t>
      </w:r>
    </w:p>
    <w:p>
      <w:pPr>
        <w:pStyle w:val="Heading1"/>
      </w:pPr>
      <w:r>
        <w:t xml:space="preserve">Research-Related Injury</w:t>
      </w:r>
    </w:p>
    <w:p>
      <w:r>
        <w:t xml:space="preserve">If you are injured because of this study, the study doctor will give you or arrange medical treatment. The sponsor pays for that treatment, and no other compensation is offered. The sponsor's injury policy, given to you with this form, explains what the treatment covers.</w:t>
      </w:r>
    </w:p>
    <w:p>
      <w:pPr>
        <w:pStyle w:val="Heading1"/>
      </w:pPr>
      <w:r>
        <w:t xml:space="preserve">Voluntary Participation</w:t>
      </w:r>
    </w:p>
    <w:p>
      <w:r>
        <w:t xml:space="preserve">Taking part in this study is voluntary. If you choose not to take part, you will not be penalized or lose any benefits to which you are otherwise entitled. You may stop taking part at any time without penalty or loss of benefits to which you are otherwise entitled.</w:t>
      </w:r>
    </w:p>
    <w:p>
      <w:pPr>
        <w:pStyle w:val="Heading1"/>
      </w:pPr>
      <w:r>
        <w:t xml:space="preserve">Other Things to Know</w:t>
      </w:r>
    </w:p>
    <w:p>
      <w:r>
        <w:t xml:space="preserve">GT-301 and all study visits and tests are provided at no cost to you. The study doctor may take you out of the study without your consent if staying in would harm you or if the sponsor stops the study. GT-301 cannot be removed once it is given, so if you leave the study we will ask you to keep coming to safety visits. We will tell you about any new findings that might affect your willingness to stay in the study. About 24 people will take part in this study.</w:t>
      </w:r>
    </w:p>
    <w:p>
      <w:pPr>
        <w:pStyle w:val="Heading1"/>
      </w:pPr>
      <w:r>
        <w:t xml:space="preserve">Other Treatment Options</w:t>
      </w:r>
    </w:p>
    <w:p>
      <w:r>
        <w:t xml:space="preserve">This form does not describe other treatments. Your doctor can answer questions about other options after you enroll.</w:t>
      </w:r>
    </w:p>
    <w:p>
      <w:pPr>
        <w:pStyle w:val="Heading1"/>
      </w:pPr>
      <w:r>
        <w:t xml:space="preserve">Questions</w:t>
      </w:r>
    </w:p>
    <w:p>
      <w:r>
        <w:t xml:space="preserve">For questions about visit scheduling, call the clinic front desk.</w:t>
      </w:r>
    </w:p>
    <w:p>
      <w:pPr>
        <w:pStyle w:val="Heading1"/>
      </w:pPr>
      <w:r>
        <w:t xml:space="preserve">Trial Registration</w:t>
      </w:r>
    </w:p>
    <w:p>
      <w:r>
        <w:t xml:space="preserve">Information about this study will not be posted on any public registry.</w:t>
      </w:r>
    </w:p>
    <w:p>
      <w:pPr>
        <w:pStyle w:val="Heading1"/>
      </w:pPr>
      <w:r>
        <w:t xml:space="preserve">Consent Signature</w:t>
      </w:r>
    </w:p>
    <w:p>
      <w:r>
        <w:t xml:space="preserve">The participant signs and dates the consent form before any study procedure. The investigator who leads the consent discussion does not sign or date the form.</w:t>
      </w:r>
    </w:p>
    <w:p>
      <w:pPr>
        <w:pStyle w:val="Heading1"/>
      </w:pPr>
      <w:r>
        <w:t xml:space="preserve">IRB Records</w:t>
      </w:r>
    </w:p>
    <w:p>
      <w:r>
        <w:t xml:space="preserve">The IRB keeps the records of its review of this study for one year after the study closes.</w:t>
      </w:r>
    </w:p>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40"/>
    </w:rPr>
  </w:style>
  <w:style w:type="paragraph" w:styleId="Heading1">
    <w:name w:val="heading 1"/>
    <w:basedOn w:val="Normal"/>
    <w:pPr>
      <w:outlineLvl w:val="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