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Study TX-401-T28: A 28-Day Repeat-Dose Oral Gavage Toxicity Study of TX-401 in Rats</w:t>
      </w:r>
    </w:p>
    <w:p>
      <w:r>
        <w:t xml:space="preserve">Synthetic document for evaluation. It describes no real study.</w:t>
      </w:r>
    </w:p>
    <w:p>
      <w:pPr>
        <w:pStyle w:val="Heading1"/>
      </w:pPr>
      <w:r>
        <w:t xml:space="preserve">Title and Purpose</w:t>
      </w:r>
    </w:p>
    <w:p>
      <w:r>
        <w:t xml:space="preserve">This study characterizes the toxicity of TX-401 given by oral gavage once daily for 28 days, followed by a 14-day recovery period, to support a first-in-human trial.</w:t>
      </w:r>
    </w:p>
    <w:p>
      <w:pPr>
        <w:pStyle w:val="Heading1"/>
      </w:pPr>
      <w:r>
        <w:t xml:space="preserve">Test and Control Articles</w:t>
      </w:r>
    </w:p>
    <w:p>
      <w:r>
        <w:t xml:space="preserve">The test article is TX-401 (code TX-401-HCl, CAS 0000000-00-0). The control article is 0.5 percent methylcellulose in purified water.</w:t>
      </w:r>
    </w:p>
    <w:p>
      <w:r>
        <w:t xml:space="preserve">The sponsor determines and documents the identity, strength, purity, and composition of each batch of TX-401 and of the control article, and the stability of each before the study starts, and documents the method of synthesis. Reserve samples of each batch of test and control article are kept in the archive. TX-401 is suspended in the methylcellulose vehicle. Stability in that vehicle was shown before the study, and each formulation is analyzed for uniformity and concentration in Weeks 1 and 4.</w:t>
      </w:r>
    </w:p>
    <w:p>
      <w:pPr>
        <w:pStyle w:val="Heading1"/>
      </w:pPr>
      <w:r>
        <w:t xml:space="preserve">Sponsor and Testing Facility</w:t>
      </w:r>
    </w:p>
    <w:p>
      <w:r>
        <w:t xml:space="preserve">The sponsor is Tenex Therapeutics, Inc. The study is conducted at Northfield Preclinical Services, 45 Research Park Road, Durham, NC 27709.</w:t>
      </w:r>
    </w:p>
    <w:p>
      <w:pPr>
        <w:pStyle w:val="Heading1"/>
      </w:pPr>
      <w:r>
        <w:t xml:space="preserve">Test System</w:t>
      </w:r>
    </w:p>
    <w:p>
      <w:r>
        <w:t xml:space="preserve">Rats are obtained from an approved vendor and acclimated for at least five days before dosing. Animals are housed in pairs in a controlled environment.</w:t>
      </w:r>
    </w:p>
    <w:p>
      <w:pPr>
        <w:pStyle w:val="Heading1"/>
      </w:pPr>
      <w:r>
        <w:t xml:space="preserve">Animal Identification</w:t>
      </w:r>
    </w:p>
    <w:p>
      <w:r>
        <w:t xml:space="preserve">Each animal is identified by a unique ear tattoo and by a cage card that shows the study number, animal number, and dose group.</w:t>
      </w:r>
    </w:p>
    <w:p>
      <w:pPr>
        <w:pStyle w:val="Heading1"/>
      </w:pPr>
      <w:r>
        <w:t xml:space="preserve">Study Design</w:t>
      </w:r>
    </w:p>
    <w:p>
      <w:r>
        <w:t xml:space="preserve">Animals are assigned to the control and three dose groups by computer-generated randomization stratified by body weight. Recovery subgroups in the control and high-dose groups are kept for 14 days without dosing. Histopathology is read by a pathologist and reviewed by a second pathologist who does not know the dose group.</w:t>
      </w:r>
    </w:p>
    <w:p>
      <w:pPr>
        <w:pStyle w:val="Heading1"/>
      </w:pPr>
      <w:r>
        <w:t xml:space="preserve">Diet and Vehicle</w:t>
      </w:r>
    </w:p>
    <w:p>
      <w:r>
        <w:t xml:space="preserve">Animals receive certified rodent diet and filtered tap water ad libitum. The supplier analyzes each diet lot for heavy metals, aflatoxins, pesticides, and PCBs, and only lots within the facility's written contaminant specifications are used. Water is analyzed twice a year against the same specifications. The only material used to suspend TX-401 is the 0.5 percent methylcellulose vehicle.</w:t>
      </w:r>
    </w:p>
    <w:p>
      <w:pPr>
        <w:pStyle w:val="Heading1"/>
      </w:pPr>
      <w:r>
        <w:t xml:space="preserve">Dosage</w:t>
      </w:r>
    </w:p>
    <w:p>
      <w:r>
        <w:t xml:space="preserve">TX-401 is given at 0, 30, 100, and 300 mg/kg/day by oral gavage once daily at a dose volume of 10 mL/kg. The high dose is the maximum feasible dose based on a 7-day range-finding study.</w:t>
      </w:r>
    </w:p>
    <w:p>
      <w:pPr>
        <w:pStyle w:val="Heading1"/>
      </w:pPr>
      <w:r>
        <w:t xml:space="preserve">Observations and Measurements</w:t>
      </w:r>
    </w:p>
    <w:p>
      <w:r>
        <w:t xml:space="preserve">Clinical observations are made twice daily, and body weight and food consumption are measured weekly. Hematology, clinical chemistry, coagulation, and urinalysis are done on Day 29 and at the end of recovery. All animals get a full necropsy with organ weights, and a full list of tissues is examined microscopically in the control and high-dose groups.</w:t>
      </w:r>
    </w:p>
    <w:p>
      <w:pPr>
        <w:pStyle w:val="Heading1"/>
      </w:pPr>
      <w:r>
        <w:t xml:space="preserve">Records</w:t>
      </w:r>
    </w:p>
    <w:p>
      <w:r>
        <w:t xml:space="preserve">The study keeps the protocol and its amendments, all raw data, dose formulation records, test article receipt and use records, specimens, quality assurance reports, and the final report.</w:t>
      </w:r>
    </w:p>
    <w:p>
      <w:pPr>
        <w:pStyle w:val="Heading1"/>
      </w:pPr>
      <w:r>
        <w:t xml:space="preserve">Statistical Methods</w:t>
      </w:r>
    </w:p>
    <w:p>
      <w:r>
        <w:t xml:space="preserve">Body weights, food consumption, clinical pathology values, and organ weights are compared between each dose group and the control with one-way analysis of variance followed by Dunnett's test, at a two-sided significance level of 0.05.</w:t>
      </w:r>
    </w:p>
    <w:p>
      <w:pPr>
        <w:pStyle w:val="Heading1"/>
      </w:pPr>
      <w:r>
        <w:t xml:space="preserve">Protocol Approval</w:t>
      </w:r>
    </w:p>
    <w:p>
      <w:r>
        <w:t xml:space="preserve">The sponsor approved this protocol on 9 February 2026. The study director, Dr. Grace Imani, signed and dated it on 10 February 2026.</w:t>
      </w:r>
    </w:p>
    <w:p>
      <w:pPr>
        <w:pStyle w:val="Heading1"/>
      </w:pPr>
      <w:r>
        <w:t xml:space="preserve">Quality Assurance</w:t>
      </w:r>
    </w:p>
    <w:p>
      <w:r>
        <w:t xml:space="preserve">The laboratory supervisor who leads the in-life team for this study performs the quality assurance inspections of the in-life phase and audits the final report.</w:t>
      </w:r>
    </w:p>
    <w:p>
      <w:pPr>
        <w:pStyle w:val="Heading1"/>
      </w:pPr>
      <w:r>
        <w:t xml:space="preserve">Data Recording</w:t>
      </w:r>
    </w:p>
    <w:p>
      <w:r>
        <w:t xml:space="preserve">Technicians record in-life observations in pencil on paper worksheets. A data clerk transcribes the worksheets into the study database each week, and the worksheets are kept as raw data.</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