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Study DX-7-S01: Dermal Sensitization Study of Topical Formulation DX-7 in Guinea Pigs (Maximization Test)</w:t>
      </w:r>
    </w:p>
    <w:p>
      <w:r>
        <w:t xml:space="preserve">Synthetic document for evaluation. It describes no real study.</w:t>
      </w:r>
    </w:p>
    <w:p>
      <w:pPr>
        <w:pStyle w:val="Heading1"/>
      </w:pPr>
      <w:r>
        <w:t xml:space="preserve">Title and Purpose</w:t>
      </w:r>
    </w:p>
    <w:p>
      <w:r>
        <w:t xml:space="preserve">This study assesses the potential of DX-7 cream to cause delayed contact hypersensitivity, using the guinea pig maximization test.</w:t>
      </w:r>
    </w:p>
    <w:p>
      <w:pPr>
        <w:pStyle w:val="Heading1"/>
      </w:pPr>
      <w:r>
        <w:t xml:space="preserve">Test and Control Articles</w:t>
      </w:r>
    </w:p>
    <w:p>
      <w:r>
        <w:t xml:space="preserve">The test article is DX-7 cream (code DX-7-C, batch 26A01). The control article is the cream base without DX-7 (code DX-7-V, batch 26V01), whose identity, strength, purity, and composition are determined and documented for its batch. The sponsor determined the stability of both articles before the study started.</w:t>
      </w:r>
    </w:p>
    <w:p>
      <w:r>
        <w:t xml:space="preserve">For the intradermal induction injections, each article is mixed with an emulsion of Freund's complete adjuvant. The uniformity, concentration, and stability of each mixture are analyzed before use.</w:t>
      </w:r>
    </w:p>
    <w:p>
      <w:pPr>
        <w:pStyle w:val="Heading1"/>
      </w:pPr>
      <w:r>
        <w:t xml:space="preserve">Sponsor and Testing Facility</w:t>
      </w:r>
    </w:p>
    <w:p>
      <w:r>
        <w:t xml:space="preserve">The sponsor is Dermax Laboratories, Inc. The study is conducted at Northfield Preclinical Services, 45 Research Park Road, Durham, NC 27709.</w:t>
      </w:r>
    </w:p>
    <w:p>
      <w:pPr>
        <w:pStyle w:val="Heading1"/>
      </w:pPr>
      <w:r>
        <w:t xml:space="preserve">Test Article Characterization</w:t>
      </w:r>
    </w:p>
    <w:p>
      <w:r>
        <w:t xml:space="preserve">The sponsor supplies DX-7 from a single new batch. The sponsor will not provide an analysis of identity, strength, or purity for this batch because the formulation is unchanged from earlier batches.</w:t>
      </w:r>
    </w:p>
    <w:p>
      <w:pPr>
        <w:pStyle w:val="Heading1"/>
      </w:pPr>
      <w:r>
        <w:t xml:space="preserve">Test System</w:t>
      </w:r>
    </w:p>
    <w:p>
      <w:r>
        <w:t xml:space="preserve">Thirty female Dunkin Hartley guinea pigs of the EH:DH substrain from Elm Hill Breeding Labs, 5 to 8 weeks old and weighing 300 to 500 g, are used: 20 in the test group and 10 in the control group. Each animal is identified by an ear tag and a cage card.</w:t>
      </w:r>
    </w:p>
    <w:p>
      <w:pPr>
        <w:pStyle w:val="Heading1"/>
      </w:pPr>
      <w:r>
        <w:t xml:space="preserve">Study Design</w:t>
      </w:r>
    </w:p>
    <w:p>
      <w:r>
        <w:t xml:space="preserve">Animals are assigned to the test and control groups by computer-generated randomization. Challenge sites are scored by a technician who does not know the animal's group.</w:t>
      </w:r>
    </w:p>
    <w:p>
      <w:pPr>
        <w:pStyle w:val="Heading1"/>
      </w:pPr>
      <w:r>
        <w:t xml:space="preserve">Diet</w:t>
      </w:r>
    </w:p>
    <w:p>
      <w:r>
        <w:t xml:space="preserve">Animals receive certified guinea pig diet with added vitamin C and filtered tap water ad libitum. The supplier analyzes each diet lot for heavy metals, aflatoxins, pesticides, and PCBs, and only lots within the facility's written contaminant specifications are used. No solvent or emulsifier other than the Freund's adjuvant emulsion is used with the test or control article.</w:t>
      </w:r>
    </w:p>
    <w:p>
      <w:pPr>
        <w:pStyle w:val="Heading1"/>
      </w:pPr>
      <w:r>
        <w:t xml:space="preserve">Dosage and Administration</w:t>
      </w:r>
    </w:p>
    <w:p>
      <w:r>
        <w:t xml:space="preserve">Animals receive intradermal injections and topical applications of DX-7 during induction, followed by a topical challenge on Day 21.</w:t>
      </w:r>
    </w:p>
    <w:p>
      <w:pPr>
        <w:pStyle w:val="Heading1"/>
      </w:pPr>
      <w:r>
        <w:t xml:space="preserve">Observations and Measurements</w:t>
      </w:r>
    </w:p>
    <w:p>
      <w:r>
        <w:t xml:space="preserve">Challenge sites are scored for erythema and edema on the Magnusson and Kligman scale 24 and 48 hours after the challenge patch is removed. Animals are observed daily for clinical signs and weighed on Days 0 and 23.</w:t>
      </w:r>
    </w:p>
    <w:p>
      <w:pPr>
        <w:pStyle w:val="Heading1"/>
      </w:pPr>
      <w:r>
        <w:t xml:space="preserve">Records</w:t>
      </w:r>
    </w:p>
    <w:p>
      <w:r>
        <w:t xml:space="preserve">The study keeps the protocol and its amendments, all raw data including skin reaction scores, test article receipt and use records, quality assurance reports, and the final report.</w:t>
      </w:r>
    </w:p>
    <w:p>
      <w:pPr>
        <w:pStyle w:val="Heading1"/>
      </w:pPr>
      <w:r>
        <w:t xml:space="preserve">Statistical Methods</w:t>
      </w:r>
    </w:p>
    <w:p>
      <w:r>
        <w:t xml:space="preserve">The proportion of animals with a positive challenge reaction is compared between the test and control groups with Fisher's exact test at a two-sided significance level of 0.05.</w:t>
      </w:r>
    </w:p>
    <w:p>
      <w:pPr>
        <w:pStyle w:val="Heading1"/>
      </w:pPr>
      <w:r>
        <w:t xml:space="preserve">Protocol Approval</w:t>
      </w:r>
    </w:p>
    <w:p>
      <w:r>
        <w:t xml:space="preserve">The sponsor approved this protocol on 4 March 2026. The study director, Dr. Omar Haddad, signed and dated it on 5 March 2026.</w:t>
      </w:r>
    </w:p>
    <w:p>
      <w:pPr>
        <w:pStyle w:val="Heading1"/>
      </w:pPr>
      <w:r>
        <w:t xml:space="preserve">Protocol Amendments</w:t>
      </w:r>
    </w:p>
    <w:p>
      <w:r>
        <w:t xml:space="preserve">The study director may approve changes to the protocol verbally while the study is running. Changes are summarized in the final report.</w:t>
      </w:r>
    </w:p>
    <w:p>
      <w:pPr>
        <w:pStyle w:val="Heading1"/>
      </w:pPr>
      <w:r>
        <w:t xml:space="preserve">Quality Assurance Reporting</w:t>
      </w:r>
    </w:p>
    <w:p>
      <w:r>
        <w:t xml:space="preserve">The quality assurance unit inspects the induction and challenge phases. It reports its findings to facility management once, at the end of the study.</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