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Study RX-88-EFD: An Embryo-Fetal Development Study of RX-88 in Rabbits</w:t>
      </w:r>
    </w:p>
    <w:p>
      <w:r>
        <w:t xml:space="preserve">Synthetic document for evaluation. It describes no real study.</w:t>
      </w:r>
    </w:p>
    <w:p>
      <w:pPr>
        <w:pStyle w:val="Heading1"/>
      </w:pPr>
      <w:r>
        <w:t xml:space="preserve">Title and Purpose</w:t>
      </w:r>
    </w:p>
    <w:p>
      <w:r>
        <w:t xml:space="preserve">This study evaluates the effects of RX-88 on embryo-fetal development when given orally to pregnant rabbits from gestation day 7 to 19.</w:t>
      </w:r>
    </w:p>
    <w:p>
      <w:pPr>
        <w:pStyle w:val="Heading1"/>
      </w:pPr>
      <w:r>
        <w:t xml:space="preserve">Test and Control Articles</w:t>
      </w:r>
    </w:p>
    <w:p>
      <w:r>
        <w:t xml:space="preserve">The test article is RX-88 (code RX-88-01, CAS 0000000-00-1). The control article is 0.5 percent methylcellulose in purified water. The sponsor determines and documents the identity, strength, purity, and composition of each batch of RX-88 and of the control article, documents the method of synthesis, and determined the stability of each before the study started. Reserve samples of each batch of test and control article are kept in the archive. The stability of RX-88 suspended in the vehicle for 8 days under refrigeration was shown before the study started.</w:t>
      </w:r>
    </w:p>
    <w:p>
      <w:pPr>
        <w:pStyle w:val="Heading1"/>
      </w:pPr>
      <w:r>
        <w:t xml:space="preserve">Sponsor and Testing Facility</w:t>
      </w:r>
    </w:p>
    <w:p>
      <w:r>
        <w:t xml:space="preserve">The sponsor is Rexon Pharma, Inc. The study is conducted at Northfield Preclinical Services, 45 Research Park Road, Durham, NC 27709.</w:t>
      </w:r>
    </w:p>
    <w:p>
      <w:pPr>
        <w:pStyle w:val="Heading1"/>
      </w:pPr>
      <w:r>
        <w:t xml:space="preserve">Study Director</w:t>
      </w:r>
    </w:p>
    <w:p>
      <w:r>
        <w:t xml:space="preserve">Dosing begins under the supervision of the senior technician. Testing facility management will designate a study director once the in-life phase is complete.</w:t>
      </w:r>
    </w:p>
    <w:p>
      <w:pPr>
        <w:pStyle w:val="Heading1"/>
      </w:pPr>
      <w:r>
        <w:t xml:space="preserve">Test System</w:t>
      </w:r>
    </w:p>
    <w:p>
      <w:r>
        <w:t xml:space="preserve">Ninety-six time-mated female New Zealand White rabbits of the RF:NZW substrain from Ridgeway Farms, 5 to 7 months old and weighing 3.0 to 4.5 kg, are assigned to four groups of 24. Each animal is identified by a tattoo and a cage card.</w:t>
      </w:r>
    </w:p>
    <w:p>
      <w:pPr>
        <w:pStyle w:val="Heading1"/>
      </w:pPr>
      <w:r>
        <w:t xml:space="preserve">Study Design</w:t>
      </w:r>
    </w:p>
    <w:p>
      <w:r>
        <w:t xml:space="preserve">Does are assigned to the four groups by computer-generated randomization stratified by body weight on gestation day 0. Fetal examinations are done by technicians who do not know the dose group.</w:t>
      </w:r>
    </w:p>
    <w:p>
      <w:pPr>
        <w:pStyle w:val="Heading1"/>
      </w:pPr>
      <w:r>
        <w:t xml:space="preserve">Diet</w:t>
      </w:r>
    </w:p>
    <w:p>
      <w:r>
        <w:t xml:space="preserve">Animals receive certified rabbit diet and filtered tap water ad libitum. The supplier analyzes each diet lot for heavy metals, aflatoxins, pesticides, and PCBs, and only lots within the facility's written contaminant specifications are used. The only material used to suspend RX-88 is the 0.5 percent methylcellulose vehicle.</w:t>
      </w:r>
    </w:p>
    <w:p>
      <w:pPr>
        <w:pStyle w:val="Heading1"/>
      </w:pPr>
      <w:r>
        <w:t xml:space="preserve">Dosage</w:t>
      </w:r>
    </w:p>
    <w:p>
      <w:r>
        <w:t xml:space="preserve">RX-88 is given by oral gavage once daily from gestation day 7 to 19 at 0, 10, 30, and 100 mg/kg/day, at a dose volume of 5 mL/kg. The high dose produced slight maternal toxicity in a dose range-finding study.</w:t>
      </w:r>
    </w:p>
    <w:p>
      <w:pPr>
        <w:pStyle w:val="Heading1"/>
      </w:pPr>
      <w:r>
        <w:t xml:space="preserve">Test Article Mixtures</w:t>
      </w:r>
    </w:p>
    <w:p>
      <w:r>
        <w:t xml:space="preserve">RX-88 is suspended in 0.5 percent methylcellulose each week. Dose formulations are not analyzed for concentration or homogeneity.</w:t>
      </w:r>
    </w:p>
    <w:p>
      <w:pPr>
        <w:pStyle w:val="Heading1"/>
      </w:pPr>
      <w:r>
        <w:t xml:space="preserve">Data Recording</w:t>
      </w:r>
    </w:p>
    <w:p>
      <w:r>
        <w:t xml:space="preserve">All raw data are recorded directly and promptly in ink or in the validated data collection system. Each entry is dated and initialed, and changes do not obscure the original entry and state a reason.</w:t>
      </w:r>
    </w:p>
    <w:p>
      <w:pPr>
        <w:pStyle w:val="Heading1"/>
      </w:pPr>
      <w:r>
        <w:t xml:space="preserve">Observations and Measurements</w:t>
      </w:r>
    </w:p>
    <w:p>
      <w:r>
        <w:t xml:space="preserve">Does are observed twice daily and weighed on gestation days 0, 7, 10, 13, 16, 19, 24, and 29. On gestation day 29, does are euthanized and the uterine contents are examined. Each fetus is weighed, sexed, and examined for external, visceral, and skeletal changes.</w:t>
      </w:r>
    </w:p>
    <w:p>
      <w:pPr>
        <w:pStyle w:val="Heading1"/>
      </w:pPr>
      <w:r>
        <w:t xml:space="preserve">Records</w:t>
      </w:r>
    </w:p>
    <w:p>
      <w:r>
        <w:t xml:space="preserve">The study keeps the protocol and its amendments, all raw data, dose formulation records, test article receipt and use records, fetal specimens, quality assurance reports, and the final report.</w:t>
      </w:r>
    </w:p>
    <w:p>
      <w:pPr>
        <w:pStyle w:val="Heading1"/>
      </w:pPr>
      <w:r>
        <w:t xml:space="preserve">Statistical Methods</w:t>
      </w:r>
    </w:p>
    <w:p>
      <w:r>
        <w:t xml:space="preserve">Maternal body weights and fetal weights are compared between each dose group and the control with analysis of variance followed by Dunnett's test, with the litter as the unit of analysis. Fetal malformation and variation incidences are compared with Fisher's exact test on litter counts. Both use a two-sided significance level of 0.05.</w:t>
      </w:r>
    </w:p>
    <w:p>
      <w:pPr>
        <w:pStyle w:val="Heading1"/>
      </w:pPr>
      <w:r>
        <w:t xml:space="preserve">Protocol Approval</w:t>
      </w:r>
    </w:p>
    <w:p>
      <w:r>
        <w:t xml:space="preserve">The sponsor approved this protocol on 12 January 2026. The study director signs and dates the protocol when designated.</w:t>
      </w:r>
    </w:p>
    <w:p>
      <w:pPr>
        <w:pStyle w:val="Heading1"/>
      </w:pPr>
      <w:r>
        <w:t xml:space="preserve">Archiving</w:t>
      </w:r>
    </w:p>
    <w:p>
      <w:r>
        <w:t xml:space="preserve">Raw data, specimens, and study records are kept in the archive for 12 months after the final report is issued and are then destroyed.</w:t>
      </w:r>
    </w:p>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rPr>
      <w:b/>
      <w:sz w:val="40"/>
    </w:rPr>
  </w:style>
  <w:style w:type="paragraph" w:styleId="Heading1">
    <w:name w:val="heading 1"/>
    <w:basedOn w:val="Normal"/>
    <w:pPr>
      <w:outlineLvl w:val="0"/>
    </w:pPr>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