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Investigational Plan FK-300: Pivotal Study of the FlexKnee Total Knee Implant</w:t>
      </w:r>
    </w:p>
    <w:p>
      <w:r>
        <w:t xml:space="preserve">Synthetic document for evaluation. It describes no real study.</w:t>
      </w:r>
    </w:p>
    <w:p>
      <w:pPr>
        <w:pStyle w:val="Heading1"/>
      </w:pPr>
      <w:r>
        <w:t xml:space="preserve">Purpose</w:t>
      </w:r>
    </w:p>
    <w:p>
      <w:r>
        <w:t xml:space="preserve">FlexKnee is a cemented total knee implant with a mobile polyethylene bearing, intended for primary total knee replacement in adults with osteoarthritis of the knee. The study enrolls 320 subjects at 20 sites to show that two-year survivorship exceeds a 95 percent performance goal. The investigation lasts about 4 years, 2 for enrollment and 2 for follow-up. FlexKnee is a significant risk device and the IDE is approved.</w:t>
      </w:r>
    </w:p>
    <w:p>
      <w:pPr>
        <w:pStyle w:val="Heading1"/>
      </w:pPr>
      <w:r>
        <w:t xml:space="preserve">Follow-up Schedule</w:t>
      </w:r>
    </w:p>
    <w:p>
      <w:r>
        <w:t xml:space="preserve">Subjects return at 6 weeks, 6 months, 1 year, and 2 years for knee scores and standing radiographs. A core laboratory reads all radiographs blinded to site.</w:t>
      </w:r>
    </w:p>
    <w:p>
      <w:r>
        <w:t xml:space="preserve">Two-year survivorship, free of revision of any component, is estimated by the Kaplan-Meier method. With 320 subjects and 10 percent loss to follow-up, the study has 85 percent power to show that the lower 95 percent confidence bound exceeds the 95 percent performance goal.</w:t>
      </w:r>
    </w:p>
    <w:p>
      <w:pPr>
        <w:pStyle w:val="Heading1"/>
      </w:pPr>
      <w:r>
        <w:t xml:space="preserve">Risk Analysis</w:t>
      </w:r>
    </w:p>
    <w:p>
      <w:r>
        <w:t xml:space="preserve">Risks are those of knee replacement surgery, such as infection, blood clots, stiffness, and loosening, plus bearing dislocation, which is specific to mobile bearings. They are minimized by surgeon training on the instruments, antibiotic and blood clot prophylaxis, and radiographic follow-up.</w:t>
      </w:r>
    </w:p>
    <w:p>
      <w:r>
        <w:t xml:space="preserve">The investigation is justified because a mobile bearing may reduce polyethylene wear. Subjects are 320 men and women aged 50 to 80 years with knee osteoarthritis that needs a primary total knee replacement.</w:t>
      </w:r>
    </w:p>
    <w:p>
      <w:pPr>
        <w:pStyle w:val="Heading1"/>
      </w:pPr>
      <w:r>
        <w:t xml:space="preserve">Device Description</w:t>
      </w:r>
    </w:p>
    <w:p>
      <w:r>
        <w:t xml:space="preserve">FlexKnee has a cobalt-chromium femoral component, a titanium tibial tray, and a highly crosslinked polyethylene bearing that rotates on the tray. All components are fixed with bone cement. No change to the device is planned during the investigation.</w:t>
      </w:r>
    </w:p>
    <w:p>
      <w:pPr>
        <w:pStyle w:val="Heading1"/>
      </w:pPr>
      <w:r>
        <w:t xml:space="preserve">Monitoring</w:t>
      </w:r>
    </w:p>
    <w:p>
      <w:r>
        <w:t xml:space="preserve">Monitors follow the sponsor's written monitoring procedures, SOP FK-MON-02, and visit each site at least twice a year. The lead monitor is David Osei, FlexKnee Orthopedics, 77 Commerce Street, Warsaw, IN 46580. Appendix E lists the name and address of every monitor.</w:t>
      </w:r>
    </w:p>
    <w:p>
      <w:pPr>
        <w:pStyle w:val="Heading1"/>
      </w:pPr>
      <w:r>
        <w:t xml:space="preserve">Labeling</w:t>
      </w:r>
    </w:p>
    <w:p>
      <w:r>
        <w:t xml:space="preserve">Each component package bears the name and place of business of FlexKnee Orthopedics, the quantity of contents, and the statement "CAUTION—Investigational device. Limited by Federal (or United States) law to investigational use." The surgical technique guide describes all relevant contraindications, hazards, adverse effects, warnings, and precautions. Appendix B contains copies of all labeling.</w:t>
      </w:r>
    </w:p>
    <w:p>
      <w:pPr>
        <w:pStyle w:val="Heading1"/>
      </w:pPr>
      <w:r>
        <w:t xml:space="preserve">Informed Consent Materials</w:t>
      </w:r>
    </w:p>
    <w:p>
      <w:r>
        <w:t xml:space="preserve">Appendix C contains the consent form that subjects review and sign before surgery.</w:t>
      </w:r>
    </w:p>
    <w:p>
      <w:pPr>
        <w:pStyle w:val="Heading1"/>
      </w:pPr>
      <w:r>
        <w:t xml:space="preserve">IRB Information</w:t>
      </w:r>
    </w:p>
    <w:p>
      <w:r>
        <w:t xml:space="preserve">Appendix D lists the name, location, and chairperson of each IRB that has reviewed or will review the investigation, with a copy of each IRB's approval letter.</w:t>
      </w:r>
    </w:p>
    <w:p>
      <w:pPr>
        <w:pStyle w:val="Heading1"/>
      </w:pPr>
      <w:r>
        <w:t xml:space="preserve">Other Institutions</w:t>
      </w:r>
    </w:p>
    <w:p>
      <w:r>
        <w:t xml:space="preserve">Radiographs are read at Midwest Imaging Core, 210 River Road, Chicago, IL 60606. No other institution takes part.</w:t>
      </w:r>
    </w:p>
    <w:p>
      <w:pPr>
        <w:pStyle w:val="Heading1"/>
      </w:pPr>
      <w:r>
        <w:t xml:space="preserve">Sponsor Evaluation of Unanticipated Adverse Device Effects</w:t>
      </w:r>
    </w:p>
    <w:p>
      <w:r>
        <w:t xml:space="preserve">The sponsor evaluates each unanticipated adverse device effect and reports the results to FDA, all reviewing IRBs, and participating investigators within 30 working days after the sponsor first receives notice of the effect.</w:t>
      </w:r>
    </w:p>
    <w:p>
      <w:pPr>
        <w:pStyle w:val="Heading1"/>
      </w:pPr>
      <w:r>
        <w:t xml:space="preserve">Termination for Unreasonable Risk</w:t>
      </w:r>
    </w:p>
    <w:p>
      <w:r>
        <w:t xml:space="preserve">If an unanticipated adverse device effect presents an unreasonable risk to subjects, the sponsor convenes the steering committee within 60 days to decide whether to stop enrollment.</w:t>
      </w:r>
    </w:p>
    <w:p>
      <w:pPr>
        <w:pStyle w:val="Heading1"/>
      </w:pPr>
      <w:r>
        <w:t xml:space="preserve">Device Accountability</w:t>
      </w:r>
    </w:p>
    <w:p>
      <w:r>
        <w:t xml:space="preserve">Implant components are kept in a locked study-only cabinet and used only for enrolled subjects, but investigators keep no log of their receipt, use, or disposition.</w:t>
      </w:r>
    </w:p>
    <w:p>
      <w:pPr>
        <w:pStyle w:val="Heading1"/>
      </w:pPr>
      <w:r>
        <w:t xml:space="preserve">Final Report</w:t>
      </w:r>
    </w:p>
    <w:p>
      <w:r>
        <w:t xml:space="preserve">Each investigator submits a final report to the sponsor and the reviewing IRB within 12 months after the investigator's part of the investigation is completed.</w:t>
      </w:r>
    </w:p>
    <w:p>
      <w:pPr>
        <w:pStyle w:val="Heading1"/>
      </w:pPr>
      <w:r>
        <w:t xml:space="preserve">Patient Materials</w:t>
      </w:r>
    </w:p>
    <w:p>
      <w:r>
        <w:t xml:space="preserve">Patient brochures describe FlexKnee as a proven safe and effective implant that lasts longer than current knees.</w:t>
      </w:r>
    </w:p>
    <w:p>
      <w:pPr>
        <w:pStyle w:val="Heading1"/>
      </w:pPr>
      <w:r>
        <w:t xml:space="preserve">Additional Records and Reports</w:t>
      </w:r>
    </w:p>
    <w:p>
      <w:r>
        <w:t xml:space="preserve">Beyond the records and reports required by 21 CFR 812 subpart G, the sponsor keeps the imaging core's radiographic reads and sends each IRB an annual summary of revisions.</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