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Protocol DEF-5-301: A Phase 3 Randomized, Placebo-Controlled Trial of DEF-5 in Stage 2 Hypertension</w:t>
      </w:r>
    </w:p>
    <w:p>
      <w:r>
        <w:t xml:space="preserve">Synthetic document for evaluation. It describes no real study.</w:t>
      </w:r>
    </w:p>
    <w:p>
      <w:pPr>
        <w:pStyle w:val="Heading1"/>
      </w:pPr>
      <w:r>
        <w:t xml:space="preserve">Objectives</w:t>
      </w:r>
    </w:p>
    <w:p>
      <w:r>
        <w:t xml:space="preserve">The primary objective is to show that DEF-5 40 mg once daily lowers mean seated systolic blood pressure more than placebo after 12 weeks. The secondary objective is to assess safety over 52 weeks of open-label extension.</w:t>
      </w:r>
    </w:p>
    <w:p>
      <w:pPr>
        <w:pStyle w:val="Heading1"/>
      </w:pPr>
      <w:r>
        <w:t xml:space="preserve">Sites and Review Boards</w:t>
      </w:r>
    </w:p>
    <w:p>
      <w:r>
        <w:t xml:space="preserve">Appendix 1 lists the name and address of each investigator and of each research facility, and the names of the subinvestigators at each site. Every site is reviewed by Central Medical IRB, 2100 Oak Avenue, Columbus, OH 43215.</w:t>
      </w:r>
    </w:p>
    <w:p>
      <w:pPr>
        <w:pStyle w:val="Heading1"/>
      </w:pPr>
      <w:r>
        <w:t xml:space="preserve">Patient Selection</w:t>
      </w:r>
    </w:p>
    <w:p>
      <w:r>
        <w:t xml:space="preserve">Adults aged 30 to 80 years with a mean seated systolic blood pressure of 160 to 179 mmHg after a two-week washout are eligible. Patients are excluded for secondary hypertension, a myocardial infarction or stroke within six months, an eGFR below 30 mL/min/1.73 m2, or pregnancy.</w:t>
      </w:r>
    </w:p>
    <w:p>
      <w:pPr>
        <w:pStyle w:val="Heading1"/>
      </w:pPr>
      <w:r>
        <w:t xml:space="preserve">Investigator Qualification</w:t>
      </w:r>
    </w:p>
    <w:p>
      <w:r>
        <w:t xml:space="preserve">Before a site is activated, the principal investigator signs the sponsor's Site Participation Agreement and provides a current curriculum vitae. The sponsor does not collect a separate signed investigator statement from sites.</w:t>
      </w:r>
    </w:p>
    <w:p>
      <w:pPr>
        <w:pStyle w:val="Heading1"/>
      </w:pPr>
      <w:r>
        <w:t xml:space="preserve">Study Design</w:t>
      </w:r>
    </w:p>
    <w:p>
      <w:r>
        <w:t xml:space="preserve">Eligible patients are randomized 1:1 to DEF-5 or placebo for 12 weeks, stratified by age group and diabetes status. Rescue medication is allowed if seated systolic pressure exceeds 180 mmHg. About 900 patients will be enrolled at 110 sites.</w:t>
      </w:r>
    </w:p>
    <w:p>
      <w:r>
        <w:t xml:space="preserve">Tablets are identical in appearance, and patients, investigators, and the sponsor's analysts remain blinded to treatment until the 12-week database lock.</w:t>
      </w:r>
    </w:p>
    <w:p>
      <w:pPr>
        <w:pStyle w:val="Heading1"/>
      </w:pPr>
      <w:r>
        <w:t xml:space="preserve">Dose Selection</w:t>
      </w:r>
    </w:p>
    <w:p>
      <w:r>
        <w:t xml:space="preserve">The 40 mg dose gave the best balance of blood pressure reduction and tolerability among the 10, 20, 40, and 80 mg doses in the Phase 2 dose-ranging study. The planned maximum dose is 40 mg once daily. Individual exposure lasts up to 64 weeks, 12 blinded and 52 open-label.</w:t>
      </w:r>
    </w:p>
    <w:p>
      <w:pPr>
        <w:pStyle w:val="Heading1"/>
      </w:pPr>
      <w:r>
        <w:t xml:space="preserve">Assessments and Safety Monitoring</w:t>
      </w:r>
    </w:p>
    <w:p>
      <w:r>
        <w:t xml:space="preserve">Seated blood pressure is measured in triplicate with a validated automated device at every visit, and 24-hour ambulatory blood pressure is recorded at baseline and Week 12. Serum potassium, creatinine, and liver function tests are measured at Weeks 2, 6, and 12 and every 3 months in the extension. Study drug is stopped in any patient with serum potassium above 6.0 mmol/L, symptomatic hypotension, or a 50 percent rise in creatinine.</w:t>
      </w:r>
    </w:p>
    <w:p>
      <w:pPr>
        <w:pStyle w:val="Heading1"/>
      </w:pPr>
      <w:r>
        <w:t xml:space="preserve">Investigational Product Accountability</w:t>
      </w:r>
    </w:p>
    <w:p>
      <w:r>
        <w:t xml:space="preserve">Study drug is dispensed from site stock at each visit. Sites do not record the quantities dispensed to or returned by each patient. Unused drug is returned to the sponsor at the end of the study.</w:t>
      </w:r>
    </w:p>
    <w:p>
      <w:pPr>
        <w:pStyle w:val="Heading1"/>
      </w:pPr>
      <w:r>
        <w:t xml:space="preserve">Case Report Forms</w:t>
      </w:r>
    </w:p>
    <w:p>
      <w:r>
        <w:t xml:space="preserve">Case report forms capture vital signs, laboratory results, concomitant medications, and adverse events. Signed consent forms are filed by the site's administrative office, and the case history does not record when consent was obtained.</w:t>
      </w:r>
    </w:p>
    <w:p>
      <w:pPr>
        <w:pStyle w:val="Heading1"/>
      </w:pPr>
      <w:r>
        <w:t xml:space="preserve">Discontinuation for Safety</w:t>
      </w:r>
    </w:p>
    <w:p>
      <w:r>
        <w:t xml:space="preserve">If the sponsor determines that DEF-5 presents an unreasonable and significant risk to subjects, enrollment is paused and the data monitoring committee reviews the data at its next scheduled meeting. FDA is told of any discontinuation in the next IND annual report.</w:t>
      </w:r>
    </w:p>
    <w:p>
      <w:pPr>
        <w:pStyle w:val="Heading1"/>
      </w:pPr>
      <w:r>
        <w:t xml:space="preserve">Statistical Analysis</w:t>
      </w:r>
    </w:p>
    <w:p>
      <w:r>
        <w:t xml:space="preserve">The primary endpoint is analyzed with a mixed model for repeated measures that includes treatment, visit, treatment-by-visit interaction, and baseline systolic pressure. A sample of 900 patients gives 90 percent power to detect a 5 mmHg difference at a two-sided alpha of 0.05.</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