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Informed Consent Form: A Phase 2 Study of MG-12 for the Prevention of Migraine</w:t>
      </w:r>
    </w:p>
    <w:p>
      <w:r>
        <w:t xml:space="preserve">Synthetic document for evaluation. It describes no real study.</w:t>
      </w:r>
    </w:p>
    <w:p>
      <w:pPr>
        <w:pStyle w:val="Heading1"/>
      </w:pPr>
      <w:r>
        <w:t xml:space="preserve">Purpose of the Study</w:t>
      </w:r>
    </w:p>
    <w:p>
      <w:r>
        <w:t xml:space="preserve">You are invited to take part in a research study. The study tests whether an experimental drug, MG-12, reduces the number of migraine days. Your participation will last about 20 weeks and includes eight clinic visits, a daily headache diary, and blood tests. MG-12 is experimental and is not approved by FDA.</w:t>
      </w:r>
    </w:p>
    <w:p>
      <w:pPr>
        <w:pStyle w:val="Heading1"/>
      </w:pPr>
      <w:r>
        <w:t xml:space="preserve">Risks and Discomforts</w:t>
      </w:r>
    </w:p>
    <w:p>
      <w:r>
        <w:t xml:space="preserve">In earlier studies, the most common side effects of MG-12 were nausea, tiredness, and dizziness. Blood draws may cause bruising. There may be risks that are not yet known.</w:t>
      </w:r>
    </w:p>
    <w:p>
      <w:pPr>
        <w:pStyle w:val="Heading1"/>
      </w:pPr>
      <w:r>
        <w:t xml:space="preserve">Benefits</w:t>
      </w:r>
    </w:p>
    <w:p>
      <w:r>
        <w:t xml:space="preserve">Your migraines may improve, but this is not certain. What we learn may help other people with migraine.</w:t>
      </w:r>
    </w:p>
    <w:p>
      <w:pPr>
        <w:pStyle w:val="Heading1"/>
      </w:pPr>
      <w:r>
        <w:t xml:space="preserve">Alternatives</w:t>
      </w:r>
    </w:p>
    <w:p>
      <w:r>
        <w:t xml:space="preserve">You do not have to join this study to get treatment. Other preventive treatments, such as approved medicines, are available. Your doctor can discuss them with you.</w:t>
      </w:r>
    </w:p>
    <w:p>
      <w:pPr>
        <w:pStyle w:val="Heading1"/>
      </w:pPr>
      <w:r>
        <w:t xml:space="preserve">Confidentiality</w:t>
      </w:r>
    </w:p>
    <w:p>
      <w:r>
        <w:t xml:space="preserve">Your study records are kept confidential and identified only by a code number. Only the study team will ever see records that identify you.</w:t>
      </w:r>
    </w:p>
    <w:p>
      <w:pPr>
        <w:pStyle w:val="Heading1"/>
      </w:pPr>
      <w:r>
        <w:t xml:space="preserve">Research-Related Injury</w:t>
      </w:r>
    </w:p>
    <w:p>
      <w:r>
        <w:t xml:space="preserve">If you have questions about the study drug, contact the study nurse during clinic hours.</w:t>
      </w:r>
    </w:p>
    <w:p>
      <w:pPr>
        <w:pStyle w:val="Heading1"/>
      </w:pPr>
      <w:r>
        <w:t xml:space="preserve">Voluntary Participation</w:t>
      </w:r>
    </w:p>
    <w:p>
      <w:r>
        <w:t xml:space="preserve">Once you are randomized, you are expected to complete all study visits. Participants who leave the study early must repay the $200 enrollment payment.</w:t>
      </w:r>
    </w:p>
    <w:p>
      <w:pPr>
        <w:pStyle w:val="Heading1"/>
      </w:pPr>
      <w:r>
        <w:t xml:space="preserve">Contacts</w:t>
      </w:r>
    </w:p>
    <w:p>
      <w:r>
        <w:t xml:space="preserve">For questions about the study or a research-related injury, call Dr. Rana Malik at 555-0142. For questions about your rights as a research participant, call the Lakeside IRB at 555-0199.</w:t>
      </w:r>
    </w:p>
    <w:p>
      <w:pPr>
        <w:pStyle w:val="Heading1"/>
      </w:pPr>
      <w:r>
        <w:t xml:space="preserve">Consent</w:t>
      </w:r>
    </w:p>
    <w:p>
      <w:r>
        <w:t xml:space="preserve">The study coordinator will explain this form and record your verbal agreement in the study log. You do not need to sign this form.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