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Informed Consent and IRB Procedures: A Phase 2 Gene Therapy Study of GT-301 in Hemophilia B</w:t>
      </w:r>
    </w:p>
    <w:p>
      <w:r>
        <w:t xml:space="preserve">Synthetic document for evaluation. It describes no real study.</w:t>
      </w:r>
    </w:p>
    <w:p>
      <w:pPr>
        <w:pStyle w:val="Heading1"/>
      </w:pPr>
      <w:r>
        <w:t xml:space="preserve">Purpose and Procedures</w:t>
      </w:r>
    </w:p>
    <w:p>
      <w:r>
        <w:t xml:space="preserve">This research study tests whether a single infusion of an experimental gene therapy, GT-301, raises factor IX activity in adults with hemophilia B. You will be in the study for 5 years, with weekly visits for the first 12 weeks and then visits every 3 months. This study is an applicable clinical trial under 42 U.S.C. 282(j).</w:t>
      </w:r>
    </w:p>
    <w:p>
      <w:pPr>
        <w:pStyle w:val="Heading1"/>
      </w:pPr>
      <w:r>
        <w:t xml:space="preserve">Risks</w:t>
      </w:r>
    </w:p>
    <w:p>
      <w:r>
        <w:t xml:space="preserve">GT-301 may cause liver inflammation, infusion reactions, and an immune response against the vector. The long-term effects of gene therapy are not known.</w:t>
      </w:r>
    </w:p>
    <w:p>
      <w:pPr>
        <w:pStyle w:val="Heading1"/>
      </w:pPr>
      <w:r>
        <w:t xml:space="preserve">Other Treatment Options</w:t>
      </w:r>
    </w:p>
    <w:p>
      <w:r>
        <w:t xml:space="preserve">This form does not describe other treatments. Your doctor can answer questions about other options after you enroll.</w:t>
      </w:r>
    </w:p>
    <w:p>
      <w:pPr>
        <w:pStyle w:val="Heading1"/>
      </w:pPr>
      <w:r>
        <w:t xml:space="preserve">Questions</w:t>
      </w:r>
    </w:p>
    <w:p>
      <w:r>
        <w:t xml:space="preserve">For questions about visit scheduling, call the clinic front desk.</w:t>
      </w:r>
    </w:p>
    <w:p>
      <w:pPr>
        <w:pStyle w:val="Heading1"/>
      </w:pPr>
      <w:r>
        <w:t xml:space="preserve">Trial Registration</w:t>
      </w:r>
    </w:p>
    <w:p>
      <w:r>
        <w:t xml:space="preserve">Information about this study will not be posted on any public registry.</w:t>
      </w:r>
    </w:p>
    <w:p>
      <w:pPr>
        <w:pStyle w:val="Heading1"/>
      </w:pPr>
      <w:r>
        <w:t xml:space="preserve">Consent Signature</w:t>
      </w:r>
    </w:p>
    <w:p>
      <w:r>
        <w:t xml:space="preserve">The participant signs and dates the consent form before any study procedure. The investigator who leads the consent discussion does not sign or date the form.</w:t>
      </w:r>
    </w:p>
    <w:p>
      <w:pPr>
        <w:pStyle w:val="Heading1"/>
      </w:pPr>
      <w:r>
        <w:t xml:space="preserve">IRB Records</w:t>
      </w:r>
    </w:p>
    <w:p>
      <w:r>
        <w:t xml:space="preserve">The IRB keeps the records of its review of this study for one year after the study closes.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basedOn w:val="Normal"/>
    <w:rPr>
      <w:b/>
      <w:sz w:val="40"/>
    </w:rPr>
  </w:style>
  <w:style w:type="paragraph" w:styleId="Heading1">
    <w:name w:val="heading 1"/>
    <w:basedOn w:val="Normal"/>
    <w:pPr>
      <w:outlineLvl w:val="0"/>
    </w:pPr>
    <w:rPr>
      <w:b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