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Study DX-7-S01: Dermal Sensitization Study of Topical Formulation DX-7 in Guinea Pigs (Maximization Test)</w:t>
      </w:r>
    </w:p>
    <w:p>
      <w:r>
        <w:t xml:space="preserve">Synthetic document for evaluation. It describes no real study.</w:t>
      </w:r>
    </w:p>
    <w:p>
      <w:pPr>
        <w:pStyle w:val="Heading1"/>
      </w:pPr>
      <w:r>
        <w:t xml:space="preserve">Title and Purpose</w:t>
      </w:r>
    </w:p>
    <w:p>
      <w:r>
        <w:t xml:space="preserve">This study assesses the potential of DX-7 cream to cause delayed contact hypersensitivity, using the guinea pig maximization test.</w:t>
      </w:r>
    </w:p>
    <w:p>
      <w:pPr>
        <w:pStyle w:val="Heading1"/>
      </w:pPr>
      <w:r>
        <w:t xml:space="preserve">Test Article Characterization</w:t>
      </w:r>
    </w:p>
    <w:p>
      <w:r>
        <w:t xml:space="preserve">The sponsor supplies DX-7 from a single new batch. The sponsor will not provide an analysis of identity, strength, or purity for this batch because the formulation is unchanged from earlier batches.</w:t>
      </w:r>
    </w:p>
    <w:p>
      <w:pPr>
        <w:pStyle w:val="Heading1"/>
      </w:pPr>
      <w:r>
        <w:t xml:space="preserve">Test System</w:t>
      </w:r>
    </w:p>
    <w:p>
      <w:r>
        <w:t xml:space="preserve">Thirty female Hartley guinea pigs from Elm Hill Breeding Labs, 5 to 8 weeks old and weighing 300 to 500 g, are used: 20 in the test group and 10 in the control group. Each animal is identified by an ear tag and a cage card.</w:t>
      </w:r>
    </w:p>
    <w:p>
      <w:pPr>
        <w:pStyle w:val="Heading1"/>
      </w:pPr>
      <w:r>
        <w:t xml:space="preserve">Dosage and Administration</w:t>
      </w:r>
    </w:p>
    <w:p>
      <w:r>
        <w:t xml:space="preserve">Animals receive intradermal injections and topical applications of DX-7 during induction, followed by a topical challenge on Day 21.</w:t>
      </w:r>
    </w:p>
    <w:p>
      <w:pPr>
        <w:pStyle w:val="Heading1"/>
      </w:pPr>
      <w:r>
        <w:t xml:space="preserve">Protocol Amendments</w:t>
      </w:r>
    </w:p>
    <w:p>
      <w:r>
        <w:t xml:space="preserve">The study director may approve changes to the protocol verbally while the study is running. Changes are summarized in the final report.</w:t>
      </w:r>
    </w:p>
    <w:p>
      <w:pPr>
        <w:pStyle w:val="Heading1"/>
      </w:pPr>
      <w:r>
        <w:t xml:space="preserve">Quality Assurance Reporting</w:t>
      </w:r>
    </w:p>
    <w:p>
      <w:r>
        <w:t xml:space="preserve">The quality assurance unit inspects the induction and challenge phases. It reports its findings to facility management once, at the end of the study.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basedOn w:val="Normal"/>
    <w:rPr>
      <w:b/>
      <w:sz w:val="40"/>
    </w:rPr>
  </w:style>
  <w:style w:type="paragraph" w:styleId="Heading1">
    <w:name w:val="heading 1"/>
    <w:basedOn w:val="Normal"/>
    <w:pPr>
      <w:outlineLvl w:val="0"/>
    </w:pPr>
    <w:rPr>
      <w:b/>
      <w:sz w:val="2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