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Study RX-88-EFD: An Embryo-Fetal Development Study of RX-88 in Rabbits</w:t>
      </w:r>
    </w:p>
    <w:p>
      <w:r>
        <w:t xml:space="preserve">Synthetic document for evaluation. It describes no real study.</w:t>
      </w:r>
    </w:p>
    <w:p>
      <w:pPr>
        <w:pStyle w:val="Heading1"/>
      </w:pPr>
      <w:r>
        <w:t xml:space="preserve">Title and Purpose</w:t>
      </w:r>
    </w:p>
    <w:p>
      <w:r>
        <w:t xml:space="preserve">This study evaluates the effects of RX-88 on embryo-fetal development when given orally to pregnant rabbits from gestation day 7 to 19.</w:t>
      </w:r>
    </w:p>
    <w:p>
      <w:pPr>
        <w:pStyle w:val="Heading1"/>
      </w:pPr>
      <w:r>
        <w:t xml:space="preserve">Study Director</w:t>
      </w:r>
    </w:p>
    <w:p>
      <w:r>
        <w:t xml:space="preserve">Dosing begins under the supervision of the senior technician. Testing facility management will designate a study director once the in-life phase is complete.</w:t>
      </w:r>
    </w:p>
    <w:p>
      <w:pPr>
        <w:pStyle w:val="Heading1"/>
      </w:pPr>
      <w:r>
        <w:t xml:space="preserve">Test System</w:t>
      </w:r>
    </w:p>
    <w:p>
      <w:r>
        <w:t xml:space="preserve">Ninety-six time-mated female New Zealand White rabbits from Ridgeway Farms, 5 to 7 months old and weighing 3.0 to 4.5 kg, are assigned to four groups of 24. Each animal is identified by a tattoo and a cage card.</w:t>
      </w:r>
    </w:p>
    <w:p>
      <w:pPr>
        <w:pStyle w:val="Heading1"/>
      </w:pPr>
      <w:r>
        <w:t xml:space="preserve">Test Article Mixtures</w:t>
      </w:r>
    </w:p>
    <w:p>
      <w:r>
        <w:t xml:space="preserve">RX-88 is suspended in 0.5 percent methylcellulose each week. Dose formulations are not analyzed for concentration or homogeneity.</w:t>
      </w:r>
    </w:p>
    <w:p>
      <w:pPr>
        <w:pStyle w:val="Heading1"/>
      </w:pPr>
      <w:r>
        <w:t xml:space="preserve">Data Recording</w:t>
      </w:r>
    </w:p>
    <w:p>
      <w:r>
        <w:t xml:space="preserve">All raw data are recorded directly and promptly in ink or in the validated data collection system. Each entry is dated and initialed, and changes do not obscure the original entry and state a reason.</w:t>
      </w:r>
    </w:p>
    <w:p>
      <w:pPr>
        <w:pStyle w:val="Heading1"/>
      </w:pPr>
      <w:r>
        <w:t xml:space="preserve">Archiving</w:t>
      </w:r>
    </w:p>
    <w:p>
      <w:r>
        <w:t xml:space="preserve">Raw data, specimens, and study records are kept in the archive for 12 months after the final report is issued and are then destroyed.</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