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Investigational Plan CT-200: Pivotal Study of the CardioTrace Implantable Cardiac Monitor</w:t>
      </w:r>
    </w:p>
    <w:p>
      <w:r>
        <w:t xml:space="preserve">Synthetic document for evaluation. It describes no real study.</w:t>
      </w:r>
    </w:p>
    <w:p>
      <w:pPr>
        <w:pStyle w:val="Heading1"/>
      </w:pPr>
      <w:r>
        <w:t xml:space="preserve">Purpose</w:t>
      </w:r>
    </w:p>
    <w:p>
      <w:r>
        <w:t xml:space="preserve">CardioTrace is a subcutaneous implantable cardiac monitor intended to detect atrial fibrillation in patients with cryptogenic stroke. The study objective is to show an atrial fibrillation detection rate of at least 12 percent at 12 months. The investigation lasts 24 months. The sponsor has determined that CardioTrace is a significant risk device and has an approved IDE.</w:t>
      </w:r>
    </w:p>
    <w:p>
      <w:pPr>
        <w:pStyle w:val="Heading1"/>
      </w:pPr>
      <w:r>
        <w:t xml:space="preserve">Device Description</w:t>
      </w:r>
    </w:p>
    <w:p>
      <w:r>
        <w:t xml:space="preserve">The device is a 1.2 cc titanium housing with two sensing electrodes, a lithium battery, and a Bluetooth transmitter. It is inserted through a 10 mm incision under local anesthesia.</w:t>
      </w:r>
    </w:p>
    <w:p>
      <w:pPr>
        <w:pStyle w:val="Heading1"/>
      </w:pPr>
      <w:r>
        <w:t xml:space="preserve">Device Labeling</w:t>
      </w:r>
    </w:p>
    <w:p>
      <w:r>
        <w:t xml:space="preserve">Each device carton is labeled with the manufacturer's name and address, the lot number, and the statement "For Research Use Only." Contraindications, warnings, and precautions are given in the Instructions for Use.</w:t>
      </w:r>
    </w:p>
    <w:p>
      <w:pPr>
        <w:pStyle w:val="Heading1"/>
      </w:pPr>
      <w:r>
        <w:t xml:space="preserve">Risk Analysis</w:t>
      </w:r>
    </w:p>
    <w:p>
      <w:r>
        <w:t xml:space="preserve">Risks include infection at the insertion site, device migration, and skin erosion. Each is minimized by sterile technique, a standardized pocket depth, and follow-up visits at 7 days, 3 months, and 12 months.</w:t>
      </w:r>
    </w:p>
    <w:p>
      <w:pPr>
        <w:pStyle w:val="Heading1"/>
      </w:pPr>
      <w:r>
        <w:t xml:space="preserve">Adverse Device Effect Reporting by Investigators</w:t>
      </w:r>
    </w:p>
    <w:p>
      <w:r>
        <w:t xml:space="preserve">Investigators report unanticipated adverse device effects to the sponsor and to the reviewing IRB within 30 calendar days after the investigator first learns of the effect.</w:t>
      </w:r>
    </w:p>
    <w:p>
      <w:pPr>
        <w:pStyle w:val="Heading1"/>
      </w:pPr>
      <w:r>
        <w:t xml:space="preserve">Record Retention</w:t>
      </w:r>
    </w:p>
    <w:p>
      <w:r>
        <w:t xml:space="preserve">Investigators and the sponsor keep all study records for one year after the investigation is completed.</w:t>
      </w:r>
    </w:p>
  </w:body>
</w:document>
</file>

<file path=word/styles.xml><?xml version="1.0" encoding="utf-8"?>
<w:styles xmlns:w="http://schemas.openxmlformats.org/wordprocessingml/2006/main">
  <w:style w:type="paragraph" w:default="1" w:styleId="Normal">
    <w:name w:val="Normal"/>
  </w:style>
  <w:style w:type="paragraph" w:styleId="Title">
    <w:name w:val="Title"/>
    <w:basedOn w:val="Normal"/>
    <w:rPr>
      <w:b/>
      <w:sz w:val="40"/>
    </w:rPr>
  </w:style>
  <w:style w:type="paragraph" w:styleId="Heading1">
    <w:name w:val="heading 1"/>
    <w:basedOn w:val="Normal"/>
    <w:pPr>
      <w:outlineLvl w:val="0"/>
    </w:pPr>
    <w:rPr>
      <w:b/>
      <w:sz w:val="2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