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Investigational Plan GS-110: Feasibility Study of the GlucoSense Implanted Continuous Glucose Sensor</w:t>
      </w:r>
    </w:p>
    <w:p>
      <w:r>
        <w:t xml:space="preserve">Synthetic document for evaluation. It describes no real study.</w:t>
      </w:r>
    </w:p>
    <w:p>
      <w:pPr>
        <w:pStyle w:val="Heading1"/>
      </w:pPr>
      <w:r>
        <w:t xml:space="preserve">Purpose</w:t>
      </w:r>
    </w:p>
    <w:p>
      <w:r>
        <w:t xml:space="preserve">GlucoSense is a fully implanted glucose sensor intended for adults with type 1 diabetes. This feasibility study enrolls 30 subjects for 180 days to estimate sensor accuracy against laboratory reference glucose.</w:t>
      </w:r>
    </w:p>
    <w:p>
      <w:pPr>
        <w:pStyle w:val="Heading1"/>
      </w:pPr>
      <w:r>
        <w:t xml:space="preserve">Regulatory Pathway</w:t>
      </w:r>
    </w:p>
    <w:p>
      <w:r>
        <w:t xml:space="preserve">The sponsor has classified the GlucoSense implanted sensor as a significant risk device. The study will start when each site's IRB approves it, and the sponsor will not submit an IDE application to FDA.</w:t>
      </w:r>
    </w:p>
    <w:p>
      <w:pPr>
        <w:pStyle w:val="Heading1"/>
      </w:pPr>
      <w:r>
        <w:t xml:space="preserve">Study Procedures</w:t>
      </w:r>
    </w:p>
    <w:p>
      <w:r>
        <w:t xml:space="preserve">The sensor is implanted in the upper arm in an outpatient procedure. Subjects attend in-clinic sessions on Days 7, 30, 90, and 180 with venous sampling every 15 minutes for 8 hours.</w:t>
      </w:r>
    </w:p>
    <w:p>
      <w:pPr>
        <w:pStyle w:val="Heading1"/>
      </w:pPr>
      <w:r>
        <w:t xml:space="preserve">Monitoring</w:t>
      </w:r>
    </w:p>
    <w:p>
      <w:r>
        <w:t xml:space="preserve">The sponsor will not monitor sites during this feasibility study. Sites contact the sponsor if a problem arises.</w:t>
      </w:r>
    </w:p>
    <w:p>
      <w:pPr>
        <w:pStyle w:val="Heading1"/>
      </w:pPr>
      <w:r>
        <w:t xml:space="preserve">Protocol Deviations</w:t>
      </w:r>
    </w:p>
    <w:p>
      <w:r>
        <w:t xml:space="preserve">If an investigator departs from the plan to protect a subject in an emergency, the deviation is listed in the investigator's final report to the sponsor.</w:t>
      </w:r>
    </w:p>
    <w:p>
      <w:pPr>
        <w:pStyle w:val="Heading1"/>
      </w:pPr>
      <w:r>
        <w:t xml:space="preserve">Subject Costs</w:t>
      </w:r>
    </w:p>
    <w:p>
      <w:r>
        <w:t xml:space="preserve">Subjects buy the sensor at the planned commercial list price of $2,400, which includes the sponsor's projected profit margin.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pPr>
      <w:outlineLvl w:val="0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