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Investigational Plan FK-300: Pivotal Study of the FlexKnee Total Knee Implant</w:t>
      </w:r>
    </w:p>
    <w:p>
      <w:r>
        <w:t xml:space="preserve">Synthetic document for evaluation. It describes no real study.</w:t>
      </w:r>
    </w:p>
    <w:p>
      <w:pPr>
        <w:pStyle w:val="Heading1"/>
      </w:pPr>
      <w:r>
        <w:t xml:space="preserve">Purpose</w:t>
      </w:r>
    </w:p>
    <w:p>
      <w:r>
        <w:t xml:space="preserve">FlexKnee is a cemented total knee implant with a mobile polyethylene bearing. The study enrolls 320 subjects at 20 sites to show non-inferior two-year survivorship compared with a performance goal. FlexKnee is a significant risk device and the IDE is approved.</w:t>
      </w:r>
    </w:p>
    <w:p>
      <w:pPr>
        <w:pStyle w:val="Heading1"/>
      </w:pPr>
      <w:r>
        <w:t xml:space="preserve">Sponsor Evaluation of Unanticipated Adverse Device Effects</w:t>
      </w:r>
    </w:p>
    <w:p>
      <w:r>
        <w:t xml:space="preserve">The sponsor evaluates each unanticipated adverse device effect and reports the results to FDA, all reviewing IRBs, and participating investigators within 30 working days after the sponsor first receives notice of the effect.</w:t>
      </w:r>
    </w:p>
    <w:p>
      <w:pPr>
        <w:pStyle w:val="Heading1"/>
      </w:pPr>
      <w:r>
        <w:t xml:space="preserve">Termination for Unreasonable Risk</w:t>
      </w:r>
    </w:p>
    <w:p>
      <w:r>
        <w:t xml:space="preserve">If an unanticipated adverse device effect presents an unreasonable risk to subjects, the sponsor convenes the steering committee within 60 days to decide whether to stop enrollment.</w:t>
      </w:r>
    </w:p>
    <w:p>
      <w:pPr>
        <w:pStyle w:val="Heading1"/>
      </w:pPr>
      <w:r>
        <w:t xml:space="preserve">Device Accountability</w:t>
      </w:r>
    </w:p>
    <w:p>
      <w:r>
        <w:t xml:space="preserve">Implant components are stored in the hospital's general orthopedic inventory and are not tracked separately for the study.</w:t>
      </w:r>
    </w:p>
    <w:p>
      <w:pPr>
        <w:pStyle w:val="Heading1"/>
      </w:pPr>
      <w:r>
        <w:t xml:space="preserve">Follow-up Schedule</w:t>
      </w:r>
    </w:p>
    <w:p>
      <w:r>
        <w:t xml:space="preserve">Subjects return at 6 weeks, 6 months, 1 year, and 2 years for knee scores and standing radiographs. A core laboratory reads all radiographs blinded to site.</w:t>
      </w:r>
    </w:p>
    <w:p>
      <w:pPr>
        <w:pStyle w:val="Heading1"/>
      </w:pPr>
      <w:r>
        <w:t xml:space="preserve">Final Report</w:t>
      </w:r>
    </w:p>
    <w:p>
      <w:r>
        <w:t xml:space="preserve">Each investigator submits a final report to the sponsor and the reviewing IRB within 12 months after the investigator's part of the investigation is completed.</w:t>
      </w:r>
    </w:p>
    <w:p>
      <w:pPr>
        <w:pStyle w:val="Heading1"/>
      </w:pPr>
      <w:r>
        <w:t xml:space="preserve">Patient Materials</w:t>
      </w:r>
    </w:p>
    <w:p>
      <w:r>
        <w:t xml:space="preserve">Patient brochures describe FlexKnee as a proven safe and effective implant that lasts longer than current knees.</w:t>
      </w:r>
    </w:p>
  </w:body>
</w:document>
</file>

<file path=word/styles.xml><?xml version="1.0" encoding="utf-8"?>
<w:styles xmlns:w="http://schemas.openxmlformats.org/wordprocessingml/2006/main">
  <w:style w:type="paragraph" w:default="1" w:styleId="Normal">
    <w:name w:val="Normal"/>
  </w:style>
  <w:style w:type="paragraph" w:styleId="Title">
    <w:name w:val="Title"/>
    <w:basedOn w:val="Normal"/>
    <w:rPr>
      <w:b/>
      <w:sz w:val="40"/>
    </w:rPr>
  </w:style>
  <w:style w:type="paragraph" w:styleId="Heading1">
    <w:name w:val="heading 1"/>
    <w:basedOn w:val="Normal"/>
    <w:pPr>
      <w:outlineLvl w:val="0"/>
    </w:pPr>
    <w:rPr>
      <w:b/>
      <w:sz w:val="2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