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Protocol XYZ-9-101: A Phase 1 First-in-Human Single and Multiple Ascending Dose Study of XYZ-9 in Healthy Adults</w:t>
      </w:r>
    </w:p>
    <w:p>
      <w:r>
        <w:t xml:space="preserve">Synthetic document for evaluation. It describes no real study.</w:t>
      </w:r>
    </w:p>
    <w:p>
      <w:pPr>
        <w:pStyle w:val="Heading1"/>
      </w:pPr>
      <w:r>
        <w:t xml:space="preserve">Study Overview</w:t>
      </w:r>
    </w:p>
    <w:p>
      <w:r>
        <w:t xml:space="preserve">This is a single-site, randomized, double-blind, placebo-controlled study of XYZ-9 in 64 healthy adults. Part A tests single ascending doses in five cohorts. Part B tests 14 days of once-daily dosing in three cohorts.</w:t>
      </w:r>
    </w:p>
    <w:p>
      <w:pPr>
        <w:pStyle w:val="Heading1"/>
      </w:pPr>
      <w:r>
        <w:t xml:space="preserve">Study Start</w:t>
      </w:r>
    </w:p>
    <w:p>
      <w:r>
        <w:t xml:space="preserve">To keep the cohort schedule, screening and first dosing begin on the date the IND is submitted to FDA. The clinical unit has reserved beds for Cohort A1 starting that week.</w:t>
      </w:r>
    </w:p>
    <w:p>
      <w:pPr>
        <w:pStyle w:val="Heading1"/>
      </w:pPr>
      <w:r>
        <w:t xml:space="preserve">Dose Escalation</w:t>
      </w:r>
    </w:p>
    <w:p>
      <w:r>
        <w:t xml:space="preserve">Each cohort has eight subjects, six on XYZ-9 and two on placebo, with two sentinel subjects dosed 48 hours before the rest. A safety review committee reviews blinded safety and pharmacokinetic data before each escalation. The highest planned single dose is 400 mg.</w:t>
      </w:r>
    </w:p>
    <w:p>
      <w:pPr>
        <w:pStyle w:val="Heading1"/>
      </w:pPr>
      <w:r>
        <w:t xml:space="preserve">Expedited Safety Reporting</w:t>
      </w:r>
    </w:p>
    <w:p>
      <w:r>
        <w:t xml:space="preserve">Unexpected fatal or life-threatening suspected adverse reactions are reported to FDA within 15 calendar days after the sponsor's initial receipt of the information, together with other IND safety reports.</w:t>
      </w:r>
    </w:p>
    <w:p>
      <w:pPr>
        <w:pStyle w:val="Heading1"/>
      </w:pPr>
      <w:r>
        <w:t xml:space="preserve">Protocol Amendments</w:t>
      </w:r>
    </w:p>
    <w:p>
      <w:r>
        <w:t xml:space="preserve">Increases in dose or the addition of cohorts take effect as soon as the sponsor's medical monitor approves them. The sponsor submits these amendments to FDA and to the IRB with the next IND annual report.</w:t>
      </w:r>
    </w:p>
    <w:p>
      <w:pPr>
        <w:pStyle w:val="Heading1"/>
      </w:pPr>
      <w:r>
        <w:t xml:space="preserve">Volunteer Recruitment</w:t>
      </w:r>
    </w:p>
    <w:p>
      <w:r>
        <w:t xml:space="preserve">Advertisements describe XYZ-9 as a safe and effective new treatment for chronic pain and invite volunteers to be among the first to benefit from it.</w:t>
      </w:r>
    </w:p>
    <w:p>
      <w:pPr>
        <w:pStyle w:val="Heading1"/>
      </w:pPr>
      <w:r>
        <w:t xml:space="preserve">Pharmacokinetic Sampling</w:t>
      </w:r>
    </w:p>
    <w:p>
      <w:r>
        <w:t xml:space="preserve">Blood samples for plasma XYZ-9 concentrations are drawn before dosing and at 0.5, 1, 2, 4, 8, 12, 24, and 48 hours after dosing. Samples are analyzed with a validated LC-MS/MS method.</w:t>
      </w:r>
    </w:p>
  </w:body>
</w:document>
</file>

<file path=word/styles.xml><?xml version="1.0" encoding="utf-8"?>
<w:styles xmlns:w="http://schemas.openxmlformats.org/wordprocessingml/2006/main">
  <w:style w:type="paragraph" w:default="1" w:styleId="Normal">
    <w:name w:val="Normal"/>
  </w:style>
  <w:style w:type="paragraph" w:styleId="Title">
    <w:name w:val="Title"/>
    <w:basedOn w:val="Normal"/>
    <w:rPr>
      <w:b/>
      <w:sz w:val="40"/>
    </w:rPr>
  </w:style>
  <w:style w:type="paragraph" w:styleId="Heading1">
    <w:name w:val="heading 1"/>
    <w:basedOn w:val="Normal"/>
    <w:pPr>
      <w:outlineLvl w:val="0"/>
    </w:pPr>
    <w:rPr>
      <w:b/>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