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Protocol DEF-5-301: A Phase 3 Randomized, Placebo-Controlled Trial of DEF-5 in Stage 2 Hypertension</w:t>
      </w:r>
    </w:p>
    <w:p>
      <w:r>
        <w:t xml:space="preserve">Synthetic document for evaluation. It describes no real study.</w:t>
      </w:r>
    </w:p>
    <w:p>
      <w:pPr>
        <w:pStyle w:val="Heading1"/>
      </w:pPr>
      <w:r>
        <w:t xml:space="preserve">Objectives</w:t>
      </w:r>
    </w:p>
    <w:p>
      <w:r>
        <w:t xml:space="preserve">The primary objective is to show that DEF-5 40 mg once daily lowers mean seated systolic blood pressure more than placebo after 12 weeks. The secondary objective is to assess safety over 52 weeks of open-label extension.</w:t>
      </w:r>
    </w:p>
    <w:p>
      <w:pPr>
        <w:pStyle w:val="Heading1"/>
      </w:pPr>
      <w:r>
        <w:t xml:space="preserve">Investigator Qualification</w:t>
      </w:r>
    </w:p>
    <w:p>
      <w:r>
        <w:t xml:space="preserve">Before a site is activated, the principal investigator signs the sponsor's Site Participation Agreement and provides a current curriculum vitae. The sponsor does not collect a separate signed investigator statement from sites.</w:t>
      </w:r>
    </w:p>
    <w:p>
      <w:pPr>
        <w:pStyle w:val="Heading1"/>
      </w:pPr>
      <w:r>
        <w:t xml:space="preserve">Study Design</w:t>
      </w:r>
    </w:p>
    <w:p>
      <w:r>
        <w:t xml:space="preserve">Eligible patients are randomized 1:1 to DEF-5 or placebo for 12 weeks, stratified by age group and diabetes status. Rescue medication is allowed if seated systolic pressure exceeds 180 mmHg. About 900 patients will be enrolled at 110 sites.</w:t>
      </w:r>
    </w:p>
    <w:p>
      <w:pPr>
        <w:pStyle w:val="Heading1"/>
      </w:pPr>
      <w:r>
        <w:t xml:space="preserve">Investigational Product Accountability</w:t>
      </w:r>
    </w:p>
    <w:p>
      <w:r>
        <w:t xml:space="preserve">Study drug is dispensed from site stock at each visit. Sites do not record the quantities dispensed to or returned by each patient, and unused drug may be discarded locally at the end of the study.</w:t>
      </w:r>
    </w:p>
    <w:p>
      <w:pPr>
        <w:pStyle w:val="Heading1"/>
      </w:pPr>
      <w:r>
        <w:t xml:space="preserve">Case Report Forms</w:t>
      </w:r>
    </w:p>
    <w:p>
      <w:r>
        <w:t xml:space="preserve">Case report forms capture vital signs, laboratory results, concomitant medications, and adverse events. Signed consent forms are filed by the site's administrative office, and the case history does not record when consent was obtained.</w:t>
      </w:r>
    </w:p>
    <w:p>
      <w:pPr>
        <w:pStyle w:val="Heading1"/>
      </w:pPr>
      <w:r>
        <w:t xml:space="preserve">Discontinuation for Safety</w:t>
      </w:r>
    </w:p>
    <w:p>
      <w:r>
        <w:t xml:space="preserve">If the sponsor determines that DEF-5 presents an unreasonable and significant risk to subjects, enrollment is paused and the data monitoring committee reviews the data at its next scheduled meeting. FDA is told of any discontinuation in the next IND annual report.</w:t>
      </w:r>
    </w:p>
    <w:p>
      <w:pPr>
        <w:pStyle w:val="Heading1"/>
      </w:pPr>
      <w:r>
        <w:t xml:space="preserve">Statistical Analysis</w:t>
      </w:r>
    </w:p>
    <w:p>
      <w:r>
        <w:t xml:space="preserve">The primary endpoint is analyzed with a mixed model for repeated measures that includes treatment, visit, treatment-by-visit interaction, and baseline systolic pressure. A sample of 900 patients gives 90 percent power to detect a 5 mmHg difference at a two-sided alpha of 0.05.</w:t>
      </w:r>
    </w:p>
  </w:body>
</w:document>
</file>

<file path=word/styles.xml><?xml version="1.0" encoding="utf-8"?>
<w:styles xmlns:w="http://schemas.openxmlformats.org/wordprocessingml/2006/main">
  <w:style w:type="paragraph" w:default="1" w:styleId="Normal">
    <w:name w:val="Normal"/>
  </w:style>
  <w:style w:type="paragraph" w:styleId="Title">
    <w:name w:val="Title"/>
    <w:basedOn w:val="Normal"/>
    <w:rPr>
      <w:b/>
      <w:sz w:val="40"/>
    </w:rPr>
  </w:style>
  <w:style w:type="paragraph" w:styleId="Heading1">
    <w:name w:val="heading 1"/>
    <w:basedOn w:val="Normal"/>
    <w:pPr>
      <w:outlineLvl w:val="0"/>
    </w:pPr>
    <w:rPr>
      <w:b/>
      <w:sz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