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Protocol ONC-5-302: A Phase 3 Trial of ONC-5 in Metastatic Colorectal Cancer, IRB Oversight and Trial Monitoring</w:t>
      </w:r>
    </w:p>
    <w:p>
      <w:r>
        <w:t xml:space="preserve">Synthetic document for evaluation. It describes no real study.</w:t>
      </w:r>
    </w:p>
    <w:p>
      <w:pPr>
        <w:pStyle w:val="Heading1"/>
      </w:pPr>
      <w:r>
        <w:t xml:space="preserve">Trial Overview</w:t>
      </w:r>
    </w:p>
    <w:p>
      <w:r>
        <w:t xml:space="preserve">This open-label Phase 3 trial randomizes 600 patients with metastatic colorectal cancer to ONC-5 plus standard chemotherapy or standard chemotherapy alone. The primary endpoint is overall survival.</w:t>
      </w:r>
    </w:p>
    <w:p>
      <w:pPr>
        <w:pStyle w:val="Heading1"/>
      </w:pPr>
      <w:r>
        <w:t xml:space="preserve">IRB Membership</w:t>
      </w:r>
    </w:p>
    <w:p>
      <w:r>
        <w:t xml:space="preserve">The Riverside Cancer Center IRB reviews this protocol. It is a three-member committee. Dr. Luis Alvarez is an oncologist at the center. Rev. Anne Lowe is the center's chaplain. James Okafor is a retired schoolteacher who is not affiliated with the center and has no immediate family member who is.</w:t>
      </w:r>
    </w:p>
    <w:p>
      <w:pPr>
        <w:pStyle w:val="Heading1"/>
      </w:pPr>
      <w:r>
        <w:t xml:space="preserve">IRB Conflicts of Interest</w:t>
      </w:r>
    </w:p>
    <w:p>
      <w:r>
        <w:t xml:space="preserve">Dr. Luis Alvarez, the principal investigator, sits on the IRB. He takes part in the initial review and votes on this protocol to provide clinical expertise.</w:t>
      </w:r>
    </w:p>
    <w:p>
      <w:pPr>
        <w:pStyle w:val="Heading1"/>
      </w:pPr>
      <w:r>
        <w:t xml:space="preserve">Continuing Review</w:t>
      </w:r>
    </w:p>
    <w:p>
      <w:r>
        <w:t xml:space="preserve">The IRB conducts continuing review of this trial every 24 months.</w:t>
      </w:r>
    </w:p>
    <w:p>
      <w:pPr>
        <w:pStyle w:val="Heading1"/>
      </w:pPr>
      <w:r>
        <w:t xml:space="preserve">Trial Monitoring</w:t>
      </w:r>
    </w:p>
    <w:p>
      <w:r>
        <w:t xml:space="preserve">Monitoring visits are scheduled at the sponsor's discretion. No written monitoring plan is prepared for this trial.</w:t>
      </w:r>
    </w:p>
    <w:p>
      <w:pPr>
        <w:pStyle w:val="Heading1"/>
      </w:pPr>
      <w:r>
        <w:t xml:space="preserve">Statistical Considerations</w:t>
      </w:r>
    </w:p>
    <w:p>
      <w:r>
        <w:t xml:space="preserve">The trial has 85 percent power to detect a hazard ratio of 0.75 for overall survival at a two-sided alpha of 0.05, with one interim analysis at 50 percent of events reviewed by an independent data monitoring committee.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