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Protocol ABC-123-201: A Phase 2 Randomized, Double-Blind, Placebo-Controlled Study of ABC-123 in Moderate-to-Severe Plaque Psoriasis</w:t>
      </w:r>
    </w:p>
    <w:p>
      <w:r>
        <w:t xml:space="preserve">Synthetic document for evaluation. It describes no real study.</w:t>
      </w:r>
    </w:p>
    <w:p>
      <w:pPr>
        <w:pStyle w:val="Heading1"/>
      </w:pPr>
      <w:r>
        <w:t xml:space="preserve">Objectives and Purpose</w:t>
      </w:r>
    </w:p>
    <w:p>
      <w:r>
        <w:t xml:space="preserve">The primary objective is to compare the proportion of patients who reach a 75 percent improvement in the Psoriasis Area and Severity Index (PASI-75) at Week 16 after oral ABC-123 or placebo.</w:t>
      </w:r>
    </w:p>
    <w:p>
      <w:r>
        <w:t xml:space="preserve">Secondary objectives are to describe the safety and tolerability of ABC-123 and to characterize its steady-state pharmacokinetics.</w:t>
      </w:r>
    </w:p>
    <w:p>
      <w:pPr>
        <w:pStyle w:val="Heading1"/>
      </w:pPr>
      <w:r>
        <w:t xml:space="preserve">Investigators</w:t>
      </w:r>
    </w:p>
    <w:p>
      <w:r>
        <w:t xml:space="preserve">The coordinating investigator is Dr. Helen Park, Department of Dermatology, Lakeside University Hospital, 1200 Lake Drive, Madison, WI 53706. Each participating investigator signs Form FDA 1572 and provides a current curriculum vitae before site activation.</w:t>
      </w:r>
    </w:p>
    <w:p>
      <w:r>
        <w:t xml:space="preserve">Appendix 1 lists the name and address of each investigator, the name of each subinvestigator, and the name and address of each research facility. The reviewing IRB for all sites is Lakeside Central IRB, 400 Main Street, Madison, WI 53703.</w:t>
      </w:r>
    </w:p>
    <w:p>
      <w:pPr>
        <w:pStyle w:val="Heading1"/>
      </w:pPr>
      <w:r>
        <w:t xml:space="preserve">Patient Selection</w:t>
      </w:r>
    </w:p>
    <w:p>
      <w:r>
        <w:t xml:space="preserve">Adults aged 18 to 70 years with plaque psoriasis covering at least 10 percent of body surface area and a PASI score of 12 or higher are eligible. Patients with active infection, a history of malignancy within five years, use of a biologic therapy within 12 weeks, pregnancy or breastfeeding, or unwillingness to use effective contraception are excluded.</w:t>
      </w:r>
    </w:p>
    <w:p>
      <w:r>
        <w:t xml:space="preserve">The study will enroll approximately 240 patients at 30 sites.</w:t>
      </w:r>
    </w:p>
    <w:p>
      <w:pPr>
        <w:pStyle w:val="Heading1"/>
      </w:pPr>
      <w:r>
        <w:t xml:space="preserve">Study Design</w:t>
      </w:r>
    </w:p>
    <w:p>
      <w:r>
        <w:t xml:space="preserve">Patients are randomized 1:1:1:1 to ABC-123 10 mg, 30 mg, 60 mg, or placebo once daily for 16 weeks. Randomization is central and stratified by baseline PASI. Capsules are identical in appearance so that patients, investigators, and sponsor staff remain blinded to treatment.</w:t>
      </w:r>
    </w:p>
    <w:p>
      <w:pPr>
        <w:pStyle w:val="Heading1"/>
      </w:pPr>
      <w:r>
        <w:t xml:space="preserve">Dose Selection</w:t>
      </w:r>
    </w:p>
    <w:p>
      <w:r>
        <w:t xml:space="preserve">Doses were chosen from the Phase 1 multiple-ascending-dose study, in which exposures up to 80 mg daily were well tolerated. The planned maximum dose is 60 mg daily, and the maximum duration of exposure for an individual patient is 16 weeks.</w:t>
      </w:r>
    </w:p>
    <w:p>
      <w:pPr>
        <w:pStyle w:val="Heading1"/>
      </w:pPr>
      <w:r>
        <w:t xml:space="preserve">Assessments</w:t>
      </w:r>
    </w:p>
    <w:p>
      <w:r>
        <w:t xml:space="preserve">PASI is scored at screening and at Weeks 0, 4, 8, 12, and 16 by an assessor who does not know the patient's treatment. Plasma ABC-123 concentrations are measured before dosing at Weeks 4, 8, and 16.</w:t>
      </w:r>
    </w:p>
    <w:p>
      <w:pPr>
        <w:pStyle w:val="Heading1"/>
      </w:pPr>
      <w:r>
        <w:t xml:space="preserve">Safety Monitoring</w:t>
      </w:r>
    </w:p>
    <w:p>
      <w:r>
        <w:t xml:space="preserve">Vital signs, a physical examination, hematology, serum chemistry, liver function tests, and urinalysis are done at screening and at every visit. Study drug is stopped in any patient whose ALT or AST exceeds three times the upper limit of normal or who develops a serious infection.</w:t>
      </w:r>
    </w:p>
    <w:p>
      <w:pPr>
        <w:pStyle w:val="Heading1"/>
      </w:pPr>
      <w:r>
        <w:t xml:space="preserve">Safety Reporting</w:t>
      </w:r>
    </w:p>
    <w:p>
      <w:r>
        <w:t xml:space="preserve">The sponsor's pharmacovigilance group reviews every serious adverse event within one business day of receipt.</w:t>
      </w:r>
    </w:p>
    <w:p>
      <w:r>
        <w:t xml:space="preserve">Serious and unexpected suspected adverse reactions are reported to FDA and all participating investigators in an IND safety report within 30 calendar days after the sponsor determines that the information qualifies for reporting. Other safety findings are summarized in the IND annual report.</w:t>
      </w:r>
    </w:p>
    <w:p>
      <w:r>
        <w:t xml:space="preserve">Unexpected fatal or life-threatening suspected adverse reactions are also reported to FDA as soon as possible, and no later than 7 calendar days after the sponsor's initial receipt of the information.</w:t>
      </w:r>
    </w:p>
    <w:p>
      <w:pPr>
        <w:pStyle w:val="Heading1"/>
      </w:pPr>
      <w:r>
        <w:t xml:space="preserve">Investigator Adverse Event Reporting</w:t>
      </w:r>
    </w:p>
    <w:p>
      <w:r>
        <w:t xml:space="preserve">Investigators record every adverse event in the electronic case report form. Serious adverse events are compiled at each site and sent to the sponsor as a monthly listing at the end of each calendar month.</w:t>
      </w:r>
    </w:p>
    <w:p>
      <w:pPr>
        <w:pStyle w:val="Heading1"/>
      </w:pPr>
      <w:r>
        <w:t xml:space="preserve">Record Retention</w:t>
      </w:r>
    </w:p>
    <w:p>
      <w:r>
        <w:t xml:space="preserve">Investigators keep all study records, including case report forms and drug dispensing logs, for one year after the final study visit. After that period, sites may destroy the records.</w:t>
      </w:r>
    </w:p>
  </w:body>
</w:document>
</file>

<file path=word/styles.xml><?xml version="1.0" encoding="utf-8"?>
<w:styles xmlns:w="http://schemas.openxmlformats.org/wordprocessingml/2006/main">
  <w:style w:type="paragraph" w:default="1" w:styleId="Normal">
    <w:name w:val="Normal"/>
  </w:style>
  <w:style w:type="paragraph" w:styleId="Title">
    <w:name w:val="Title"/>
    <w:basedOn w:val="Normal"/>
    <w:rPr>
      <w:b/>
      <w:sz w:val="40"/>
    </w:rPr>
  </w:style>
  <w:style w:type="paragraph" w:styleId="Heading1">
    <w:name w:val="heading 1"/>
    <w:basedOn w:val="Normal"/>
    <w:pPr>
      <w:outlineLvl w:val="0"/>
    </w:pPr>
    <w:rPr>
      <w:b/>
      <w:sz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