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2026年10月20日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跨种子交叉对战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3384"/>
        <w:gridCol w:w="1656"/>
        <w:gridCol w:w="3182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338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318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3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刺杀阶段只开放此槽，取值改为是否梅林候选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5，轮次至多 5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为“不评”时屏蔽；公开记录类只能选真实发生的事件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队长固定为其提案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投票倾向头与点名头</w:t>
            </w:r>
          </w:p>
        </w:tc>
        <w:tc>
          <w:tcPr>
            <w:tcW w:type="dxa" w:w="16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3；至多 6</w:t>
            </w:r>
          </w:p>
        </w:tc>
        <w:tc>
          <w:tcPr>
            <w:tcW w:type="dxa" w:w="318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点名只限本轮尚未发言的玩家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每个槽位的第一个取值即“不说”（不声明、不评、不建议、不表态、不点名）。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关闭的槽位强制“不说”，不进入损失；观察中编码为“关闭”，与主动选择“不说”区分开。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轮任务失败时他在队里。我建议 1、2、5 号上车。我反对当前队伍，请 4 号回应。”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的遮蔽干预可以直接修改向量字段。通信配置的消息记录同样按提案定长编码；若维度过大，再考虑在提案序列上使用循环网络或注意力。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S，直到对随机与规则对手的胜率稳定（关卡一）。S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每个配置先跑 2,000 局 pilot，测吞吐与学习曲线，再在 20,000–100,000 局范围内选定 B。核心层 S、M、F 各 3 个种子，共 9 次训练，分支设计下前半段共享；扩展层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各条件使用相同的角色分配与初始队长表，策略采样用独立随机流；评估中没有训练更新与跨局记忆。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交叉对战（可选）：</w:t>
      </w:r>
      <w:r>
        <w:t>让不同种子的好人与坏人对局，用于区分策略强弱、共同适应与通信效果。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RTX 5070 Ti Laptop（12 GB 显存）运行引擎、并行环境、小型网络与统计分析。先分别计时 CPU 仿真与 GPU 更新，不默认瓶颈在 GPU。PyTorch 需选用支持 RTX 50 系的 CUDA 12.8 版本。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每局训练耗时（分支设计下前半段共享），另加调参与评估。初始上限设为 40–60 GPU 小时，用 pilot 修订；超出时先减小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