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6.png" ContentType="image/png"/>
  <Override PartName="/word/media/rId33.png" ContentType="image/png"/>
  <Override PartName="/word/media/rId2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report"/>
    <w:p>
      <w:pPr>
        <w:pStyle w:val="Heading1"/>
      </w:pPr>
      <w:r>
        <w:t xml:space="preserve">Report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project was aimed at developing and testing out a prediction-driven monthly stock trading strategy with a total of 50 NASDAQ stocks. We apply a rolling cross-sectional ridge regression model for 36 months, which will be trained on and forecast the next-month returns based on the information of the momentum, volatility, and market risk signals.</w:t>
      </w:r>
    </w:p>
    <w:p>
      <w:pPr>
        <w:pStyle w:val="BodyText"/>
      </w:pPr>
      <w:r>
        <w:t xml:space="preserve">The final analysis made considerable advances from the primary concept. Our initial presentation, which focused on modeling the Top-20 universe, is switched to employing the full Top-50 universe, originally as proposed. It also utilizes the strict Rolling Window procedure rather than the Looking-Ahead methods.</w:t>
      </w:r>
    </w:p>
    <w:p>
      <w:pPr>
        <w:pStyle w:val="BodyText"/>
      </w:pPr>
      <w:r>
        <w:rPr>
          <w:b/>
          <w:bCs/>
        </w:rPr>
        <w:t xml:space="preserve">Results (Out-of-Sample, Feb 2024 - Oct 2025):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SPY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Ann. Return</w:t>
            </w:r>
          </w:p>
        </w:tc>
        <w:tc>
          <w:tcPr/>
          <w:p>
            <w:pPr>
              <w:pStyle w:val="Compact"/>
            </w:pPr>
            <w:r>
              <w:t xml:space="preserve">35.75%</w:t>
            </w:r>
          </w:p>
        </w:tc>
        <w:tc>
          <w:tcPr/>
          <w:p>
            <w:pPr>
              <w:pStyle w:val="Compact"/>
            </w:pPr>
            <w:r>
              <w:t xml:space="preserve">21.05%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Ann. Vol</w:t>
            </w:r>
          </w:p>
        </w:tc>
        <w:tc>
          <w:tcPr/>
          <w:p>
            <w:pPr>
              <w:pStyle w:val="Compact"/>
            </w:pPr>
            <w:r>
              <w:t xml:space="preserve">32.20%</w:t>
            </w:r>
          </w:p>
        </w:tc>
        <w:tc>
          <w:tcPr/>
          <w:p>
            <w:pPr>
              <w:pStyle w:val="Compact"/>
            </w:pPr>
            <w:r>
              <w:t xml:space="preserve">11.46%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DD</w:t>
            </w:r>
          </w:p>
        </w:tc>
        <w:tc>
          <w:tcPr/>
          <w:p>
            <w:pPr>
              <w:pStyle w:val="Compact"/>
            </w:pPr>
            <w:r>
              <w:t xml:space="preserve">-16.90%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 Rate</w:t>
            </w:r>
          </w:p>
        </w:tc>
        <w:tc>
          <w:tcPr/>
          <w:p>
            <w:pPr>
              <w:pStyle w:val="Compact"/>
            </w:pPr>
            <w:r>
              <w:t xml:space="preserve">50.00%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Evidently, the model successfully captured the characteristics of the 2021-2023 training period. The model showed strong effectiveness during the 2024-2025 recovery and AI-driven bull market. The stringent removal of look-ahead bias demonstrates that in these cases simple linear momentum factors demonstrate strong predictive power during the subsequent regime (e.g., sustained growth in semiconductor and tech sectors).</w:t>
      </w:r>
    </w:p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bookmarkStart w:id="10" w:name="motivation"/>
    <w:p>
      <w:pPr>
        <w:pStyle w:val="Heading3"/>
      </w:pPr>
      <w:r>
        <w:t xml:space="preserve">1.1 Motivation</w:t>
      </w:r>
    </w:p>
    <w:p>
      <w:pPr>
        <w:pStyle w:val="FirstParagraph"/>
      </w:pPr>
      <w:r>
        <w:t xml:space="preserve">“With a provided universe of 50 liquid equities, can we predict future performance via a rolling linear model?”</w:t>
      </w:r>
    </w:p>
    <w:p>
      <w:pPr>
        <w:pStyle w:val="BodyText"/>
      </w:pPr>
      <w:r>
        <w:t xml:space="preserve">Moving to a portfolio-wide focus and orientation of cross-sectional rankings is the main thrust of this project.</w:t>
      </w:r>
    </w:p>
    <w:bookmarkEnd w:id="10"/>
    <w:bookmarkStart w:id="11" w:name="research-questions"/>
    <w:p>
      <w:pPr>
        <w:pStyle w:val="Heading3"/>
      </w:pPr>
      <w:r>
        <w:t xml:space="preserve">1.2 Research Questions</w:t>
      </w:r>
    </w:p>
    <w:p>
      <w:pPr>
        <w:pStyle w:val="Compact"/>
        <w:numPr>
          <w:ilvl w:val="0"/>
          <w:numId w:val="1001"/>
        </w:numPr>
      </w:pPr>
      <w:r>
        <w:t xml:space="preserve">Can temporal (rolling) cross-sectional regression methods result in effective stock selection rankings?</w:t>
      </w:r>
    </w:p>
    <w:p>
      <w:pPr>
        <w:pStyle w:val="Compact"/>
        <w:numPr>
          <w:ilvl w:val="0"/>
          <w:numId w:val="1001"/>
        </w:numPr>
      </w:pPr>
      <w:r>
        <w:t xml:space="preserve">Is there a benefit of making a Top 5 selection instead of just operating at the S&amp;P 500 benchmark when taking risks into account?</w:t>
      </w:r>
    </w:p>
    <w:p>
      <w:pPr>
        <w:pStyle w:val="Compact"/>
        <w:numPr>
          <w:ilvl w:val="0"/>
          <w:numId w:val="1001"/>
        </w:numPr>
      </w:pPr>
      <w:r>
        <w:t xml:space="preserve">What are the different ways in which market volatility levels impact strategy performance?</w:t>
      </w:r>
    </w:p>
    <w:bookmarkEnd w:id="11"/>
    <w:bookmarkStart w:id="12" w:name="methodological-rigor"/>
    <w:p>
      <w:pPr>
        <w:pStyle w:val="Heading3"/>
      </w:pPr>
      <w:r>
        <w:t xml:space="preserve">1.3 Methodological Rigor</w:t>
      </w:r>
    </w:p>
    <w:p>
      <w:pPr>
        <w:pStyle w:val="FirstParagraph"/>
      </w:pPr>
      <w:r>
        <w:t xml:space="preserve">One main objective of this last report is</w:t>
      </w:r>
      <w:r>
        <w:t xml:space="preserve"> </w:t>
      </w:r>
      <w:r>
        <w:rPr>
          <w:b/>
          <w:bCs/>
        </w:rPr>
        <w:t xml:space="preserve">Methodological Integrity</w:t>
      </w:r>
      <w:r>
        <w:t xml:space="preserve">. Rather than naive train-test splits, we enforce: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 month </m:t>
          </m:r>
          <m:r>
            <m:t>t</m:t>
          </m:r>
          <m:r>
            <m:rPr>
              <m:sty m:val="p"/>
            </m:rPr>
            <m:t>:</m:t>
          </m:r>
          <m:r>
            <m:t> </m:t>
          </m:r>
          <m:r>
            <m:rPr>
              <m:nor/>
              <m:sty m:val="p"/>
            </m:rPr>
            <m:t>Train on 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−</m:t>
          </m:r>
          <m:r>
            <m:t>36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→</m:t>
          </m:r>
          <m:r>
            <m:t> </m:t>
          </m:r>
          <m:r>
            <m:rPr>
              <m:nor/>
              <m:sty m:val="p"/>
            </m:rPr>
            <m:t>Predict for </m:t>
          </m:r>
          <m:r>
            <m:t>t</m:t>
          </m:r>
        </m:oMath>
      </m:oMathPara>
    </w:p>
    <w:p>
      <w:pPr>
        <w:pStyle w:val="FirstParagraph"/>
      </w:pPr>
      <w:r>
        <w:t xml:space="preserve">The strategy is hence achieving real-world validation with no look-ahead bias.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data-description"/>
    <w:p>
      <w:pPr>
        <w:pStyle w:val="Heading2"/>
      </w:pPr>
      <w:r>
        <w:t xml:space="preserve">2. Data Description</w:t>
      </w:r>
    </w:p>
    <w:bookmarkStart w:id="14" w:name="stock-universe"/>
    <w:p>
      <w:pPr>
        <w:pStyle w:val="Heading3"/>
      </w:pPr>
      <w:r>
        <w:t xml:space="preserve">2.1 Stock Universe</w:t>
      </w:r>
    </w:p>
    <w:p>
      <w:pPr>
        <w:pStyle w:val="FirstParagraph"/>
      </w:pPr>
      <w:r>
        <w:t xml:space="preserve">We enlarged the universe from initial 20 stocks to the</w:t>
      </w:r>
      <w:r>
        <w:t xml:space="preserve"> </w:t>
      </w:r>
      <w:r>
        <w:rPr>
          <w:b/>
          <w:bCs/>
        </w:rPr>
        <w:t xml:space="preserve">Top 50 NASDAQ stocks</w:t>
      </w:r>
      <w:r>
        <w:t xml:space="preserve"> </w:t>
      </w:r>
      <w:r>
        <w:t xml:space="preserve">(as required by the Proposal) to capture higher cross-sectional dispersion.</w:t>
      </w:r>
    </w:p>
    <w:p>
      <w:pPr>
        <w:pStyle w:val="BodyText"/>
      </w:pPr>
      <w:r>
        <w:rPr>
          <w:b/>
          <w:bCs/>
        </w:rPr>
        <w:t xml:space="preserve">Sectors: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(20):</w:t>
      </w:r>
      <w:r>
        <w:t xml:space="preserve"> </w:t>
      </w:r>
      <w:r>
        <w:t xml:space="preserve">AAPL, MSFT, GOOG, AMZN, NVDA, META, TSLA, AVGO, ADBE, CSCO, AMD, INTC, QCOM, TXN, AMAT, LRCX, MU, KLAC, ASML, MRVL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Software (10):</w:t>
      </w:r>
      <w:r>
        <w:t xml:space="preserve"> </w:t>
      </w:r>
      <w:r>
        <w:t xml:space="preserve">CRM, ORCL, INTU, NOW, PANW, SNPS, CDNS, ADSK, WDAY, TEAM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Consumer (10):</w:t>
      </w:r>
      <w:r>
        <w:t xml:space="preserve"> </w:t>
      </w:r>
      <w:r>
        <w:t xml:space="preserve">COST, PEP, SBUX, MDLZ, MNST, KHC, KDP, LULU, ROST, DLTR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Healthcare (10):</w:t>
      </w:r>
      <w:r>
        <w:t xml:space="preserve"> </w:t>
      </w:r>
      <w:r>
        <w:t xml:space="preserve">AMGN, GILD, VRTX, REGN, BIIB, ILMN, MRNA, DXCM, ISRG, IDXX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A more extensive universe can generate a wider array of opportunities, though it may involve a higher proportion of volatile stocks.</w:t>
      </w:r>
    </w:p>
    <w:bookmarkEnd w:id="14"/>
    <w:bookmarkStart w:id="15" w:name="data-period"/>
    <w:p>
      <w:pPr>
        <w:pStyle w:val="Heading3"/>
      </w:pPr>
      <w:r>
        <w:t xml:space="preserve">2.2 Data Period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Period:</w:t>
      </w:r>
      <w:r>
        <w:t xml:space="preserve"> </w:t>
      </w:r>
      <w:r>
        <w:t xml:space="preserve">Feb 2021 - Oct 2025 (4.7 years)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 Window:</w:t>
      </w:r>
      <w:r>
        <w:t xml:space="preserve"> </w:t>
      </w:r>
      <w:r>
        <w:t xml:space="preserve">36 months (rolling)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Out-of-Sample Test:</w:t>
      </w:r>
      <w:r>
        <w:t xml:space="preserve"> </w:t>
      </w:r>
      <w:r>
        <w:t xml:space="preserve">Feb 2024 - Oct 2025 (20 months)</w:t>
      </w:r>
    </w:p>
    <w:bookmarkEnd w:id="15"/>
    <w:bookmarkStart w:id="16" w:name="variables"/>
    <w:p>
      <w:pPr>
        <w:pStyle w:val="Heading3"/>
      </w:pPr>
      <w:r>
        <w:t xml:space="preserve">2.3 Variables</w:t>
      </w:r>
    </w:p>
    <w:p>
      <w:pPr>
        <w:pStyle w:val="FirstParagraph"/>
      </w:pPr>
      <w:r>
        <w:rPr>
          <w:b/>
          <w:bCs/>
        </w:rPr>
        <w:t xml:space="preserve">Predictors (10 features):</w:t>
      </w:r>
      <w:r>
        <w:t xml:space="preserve"> </w:t>
      </w:r>
      <w:r>
        <w:t xml:space="preserve">- Returns: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5</m:t>
            </m:r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20</m:t>
            </m:r>
            <m:r>
              <m:t>d</m:t>
            </m:r>
          </m:sub>
        </m:sSub>
      </m:oMath>
      <w:r>
        <w:t xml:space="preserve"> </w:t>
      </w:r>
      <w:r>
        <w:t xml:space="preserve">- Momentum:</w:t>
      </w:r>
      <w:r>
        <w:t xml:space="preserve"> </w:t>
      </w:r>
      <m:oMath>
        <m:r>
          <m:t>m</m:t>
        </m:r>
        <m:r>
          <m:t>o</m:t>
        </m:r>
        <m:sSub>
          <m:e>
            <m:r>
              <m:t>m</m:t>
            </m:r>
          </m:e>
          <m:sub>
            <m:r>
              <m:t>5</m:t>
            </m:r>
            <m:r>
              <m:t>d</m:t>
            </m:r>
          </m:sub>
        </m:sSub>
        <m:r>
          <m:rPr>
            <m:sty m:val="p"/>
          </m:rPr>
          <m:t>,</m:t>
        </m:r>
        <m:r>
          <m:t>m</m:t>
        </m:r>
        <m:r>
          <m:t>o</m:t>
        </m:r>
        <m:sSub>
          <m:e>
            <m:r>
              <m:t>m</m:t>
            </m:r>
          </m:e>
          <m:sub>
            <m:r>
              <m:t>20</m:t>
            </m:r>
            <m:r>
              <m:t>d</m:t>
            </m:r>
          </m:sub>
        </m:sSub>
        <m:r>
          <m:rPr>
            <m:sty m:val="p"/>
          </m:rPr>
          <m:t>,</m:t>
        </m:r>
        <m:r>
          <m:t>m</m:t>
        </m:r>
        <m:r>
          <m:t>o</m:t>
        </m:r>
        <m:sSub>
          <m:e>
            <m:r>
              <m:t>m</m:t>
            </m:r>
          </m:e>
          <m:sub>
            <m:r>
              <m:t>63</m:t>
            </m:r>
            <m:r>
              <m:t>d</m:t>
            </m:r>
          </m:sub>
        </m:sSub>
      </m:oMath>
      <w:r>
        <w:t xml:space="preserve"> </w:t>
      </w:r>
      <w:r>
        <w:t xml:space="preserve">(3-month as per proposal)</w:t>
      </w:r>
      <w:r>
        <w:t xml:space="preserve"> </w:t>
      </w:r>
      <w:r>
        <w:t xml:space="preserve">- Volatility:</w:t>
      </w:r>
      <w:r>
        <w:t xml:space="preserve"> </w:t>
      </w:r>
      <m:oMath>
        <m:sSub>
          <m:e>
            <m:r>
              <m:t>σ</m:t>
            </m:r>
          </m:e>
          <m:sub>
            <m:r>
              <m:t>20</m:t>
            </m:r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60</m:t>
            </m:r>
            <m:r>
              <m:t>d</m:t>
            </m:r>
          </m:sub>
        </m:sSub>
      </m:oMath>
      <w:r>
        <w:t xml:space="preserve"> </w:t>
      </w:r>
      <w:r>
        <w:t xml:space="preserve">- Technical: RSI-14</w:t>
      </w:r>
      <w:r>
        <w:t xml:space="preserve"> </w:t>
      </w:r>
      <w:r>
        <w:t xml:space="preserve">- Market: VIX index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Forward 20-day return (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20</m:t>
            </m:r>
          </m:sub>
        </m:sSub>
      </m:oMath>
      <w: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methodology"/>
    <w:p>
      <w:pPr>
        <w:pStyle w:val="Heading2"/>
      </w:pPr>
      <w:r>
        <w:t xml:space="preserve">3. Methodology</w:t>
      </w:r>
    </w:p>
    <w:bookmarkStart w:id="18" w:name="model-rolling-ridge-regression"/>
    <w:p>
      <w:pPr>
        <w:pStyle w:val="Heading3"/>
      </w:pPr>
      <w:r>
        <w:t xml:space="preserve">3.1 Model: Rolling Ridge Regression</w:t>
      </w:r>
    </w:p>
    <w:p>
      <w:pPr>
        <w:pStyle w:val="FirstParagraph"/>
      </w:pPr>
      <w:r>
        <w:t xml:space="preserve">We drove Ridge Regression (</w:t>
      </w:r>
      <m:oMath>
        <m:r>
          <m:t>α</m:t>
        </m:r>
        <m:r>
          <m:rPr>
            <m:sty m:val="p"/>
          </m:rPr>
          <m:t>=</m:t>
        </m:r>
        <m:r>
          <m:t>1.0</m:t>
        </m:r>
      </m:oMath>
      <w:r>
        <w:t xml:space="preserve">) rather than OLS for calculations of multicollinearity among momentum predictors.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SourceCode"/>
      </w:pPr>
      <w:r>
        <w:rPr>
          <w:rStyle w:val="VerbatimChar"/>
        </w:rPr>
        <w:t xml:space="preserve">For each month t (starting from month 37):</w:t>
      </w:r>
      <w:r>
        <w:br/>
      </w:r>
      <w:r>
        <w:rPr>
          <w:rStyle w:val="VerbatimChar"/>
        </w:rPr>
        <w:t xml:space="preserve">    1. Training Data = All stock-months from [t-36, t-1]</w:t>
      </w:r>
      <w:r>
        <w:br/>
      </w:r>
      <w:r>
        <w:rPr>
          <w:rStyle w:val="VerbatimChar"/>
        </w:rPr>
        <w:t xml:space="preserve">    2. Fit Ridge regression: r_forward ~ features</w:t>
      </w:r>
      <w:r>
        <w:br/>
      </w:r>
      <w:r>
        <w:rPr>
          <w:rStyle w:val="VerbatimChar"/>
        </w:rPr>
        <w:t xml:space="preserve">    3. Predict returns for all 50 stocks at month t</w:t>
      </w:r>
      <w:r>
        <w:br/>
      </w:r>
      <w:r>
        <w:rPr>
          <w:rStyle w:val="VerbatimChar"/>
        </w:rPr>
        <w:t xml:space="preserve">    4. Rank stocks by predicted return</w:t>
      </w:r>
      <w:r>
        <w:br/>
      </w:r>
      <w:r>
        <w:rPr>
          <w:rStyle w:val="VerbatimChar"/>
        </w:rPr>
        <w:t xml:space="preserve">    5. Select Top 5, equal weight (20% each)</w:t>
      </w:r>
    </w:p>
    <w:bookmarkEnd w:id="18"/>
    <w:bookmarkStart w:id="19" w:name="no-look-ahead-bias"/>
    <w:p>
      <w:pPr>
        <w:pStyle w:val="Heading3"/>
      </w:pPr>
      <w:r>
        <w:t xml:space="preserve">3.2 No Look-Ahead Bias</w:t>
      </w:r>
    </w:p>
    <w:p>
      <w:pPr>
        <w:pStyle w:val="FirstParagraph"/>
      </w:pPr>
      <w:r>
        <w:t xml:space="preserve">Essential: In month</w:t>
      </w:r>
      <w:r>
        <w:t xml:space="preserve"> </w:t>
      </w:r>
      <m:oMath>
        <m:r>
          <m:t>t</m:t>
        </m:r>
      </m:oMath>
      <w:r>
        <w:t xml:space="preserve">, we NEVER employ month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or later month data for training.</w:t>
      </w:r>
    </w:p>
    <w:p>
      <w:pPr>
        <w:pStyle w:val="SourceCode"/>
      </w:pPr>
      <w:r>
        <w:rPr>
          <w:rStyle w:val="VerbatimChar"/>
        </w:rPr>
        <w:t xml:space="preserve">Month 37: Train on [1, 36], Predict 37</w:t>
      </w:r>
      <w:r>
        <w:br/>
      </w:r>
      <w:r>
        <w:rPr>
          <w:rStyle w:val="VerbatimChar"/>
        </w:rPr>
        <w:t xml:space="preserve">Month 38: Train on [2, 37], Predict 38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Month 56: Train on [20, 55], Predict 56</w:t>
      </w:r>
    </w:p>
    <w:bookmarkEnd w:id="19"/>
    <w:bookmarkStart w:id="20" w:name="strategy-execution"/>
    <w:p>
      <w:pPr>
        <w:pStyle w:val="Heading3"/>
      </w:pPr>
      <w:r>
        <w:t xml:space="preserve">3.3 Strategy Execution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Monthly Rebalance:</w:t>
      </w:r>
      <w:r>
        <w:t xml:space="preserve"> </w:t>
      </w:r>
      <w:r>
        <w:t xml:space="preserve">End of every month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Ranking:</w:t>
      </w:r>
      <w:r>
        <w:t xml:space="preserve"> </w:t>
      </w:r>
      <w:r>
        <w:t xml:space="preserve">Sort 50 stocks in ascending order of predicted return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Selection:</w:t>
      </w:r>
      <w:r>
        <w:t xml:space="preserve"> </w:t>
      </w:r>
      <w:r>
        <w:t xml:space="preserve">Long Top 5 stocks (Equal Weight)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Benchmark:</w:t>
      </w:r>
      <w:r>
        <w:t xml:space="preserve"> </w:t>
      </w:r>
      <w:r>
        <w:t xml:space="preserve">SPY (S&amp;P 500 ETF)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1" w:name="results"/>
    <w:p>
      <w:pPr>
        <w:pStyle w:val="Heading2"/>
      </w:pPr>
      <w:r>
        <w:t xml:space="preserve">4. Results</w:t>
      </w:r>
    </w:p>
    <w:bookmarkStart w:id="28" w:name="performance-summary"/>
    <w:p>
      <w:pPr>
        <w:pStyle w:val="Heading3"/>
      </w:pPr>
      <w:r>
        <w:t xml:space="preserve">4.1 Performance Summary</w:t>
      </w:r>
    </w:p>
    <w:p>
      <w:pPr>
        <w:pStyle w:val="CaptionedFigure"/>
      </w:pPr>
      <w:r>
        <w:drawing>
          <wp:inline>
            <wp:extent cx="5334000" cy="2610828"/>
            <wp:effectExtent b="0" l="0" r="0" t="0"/>
            <wp:docPr descr="Performance Summary Table" title="" id="23" name="Picture"/>
            <a:graphic>
              <a:graphicData uri="http://schemas.openxmlformats.org/drawingml/2006/picture">
                <pic:pic>
                  <pic:nvPicPr>
                    <pic:cNvPr descr="plot_performance_tabl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0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Performance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Strategy (Top 50 Rolling)</w:t>
            </w:r>
          </w:p>
        </w:tc>
        <w:tc>
          <w:tcPr/>
          <w:p>
            <w:pPr>
              <w:pStyle w:val="Compact"/>
            </w:pPr>
            <w:r>
              <w:t xml:space="preserve">SPY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Months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Ann. Return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35.75%</w:t>
            </w:r>
          </w:p>
        </w:tc>
        <w:tc>
          <w:tcPr/>
          <w:p>
            <w:pPr>
              <w:pStyle w:val="Compact"/>
            </w:pPr>
            <w:r>
              <w:t xml:space="preserve">21.05%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Ann. Volatility</w:t>
            </w:r>
          </w:p>
        </w:tc>
        <w:tc>
          <w:tcPr/>
          <w:p>
            <w:pPr>
              <w:pStyle w:val="Compact"/>
            </w:pPr>
            <w:r>
              <w:t xml:space="preserve">32.20%</w:t>
            </w:r>
          </w:p>
        </w:tc>
        <w:tc>
          <w:tcPr/>
          <w:p>
            <w:pPr>
              <w:pStyle w:val="Compact"/>
            </w:pPr>
            <w:r>
              <w:t xml:space="preserve">11.46%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 Ratio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Drawdown</w:t>
            </w:r>
          </w:p>
        </w:tc>
        <w:tc>
          <w:tcPr/>
          <w:p>
            <w:pPr>
              <w:pStyle w:val="Compact"/>
            </w:pPr>
            <w:r>
              <w:t xml:space="preserve">-16.90%</w:t>
            </w:r>
          </w:p>
        </w:tc>
        <w:tc>
          <w:tcPr/>
          <w:p>
            <w:pPr>
              <w:pStyle w:val="Compact"/>
            </w:pPr>
            <w:r>
              <w:t xml:space="preserve">~-6.5%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 Rate vs SPY</w:t>
            </w:r>
          </w:p>
        </w:tc>
        <w:tc>
          <w:tcPr/>
          <w:p>
            <w:pPr>
              <w:pStyle w:val="Compact"/>
            </w:pPr>
            <w:r>
              <w:t xml:space="preserve">50.00%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The cumulative returns comparison below illustrates the strong performance of the strategy, which effectively matched and eventually outperformed the benchmark during the 2024-2025 period.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Cumulative Returns: Strategy vs SPY" title="" id="26" name="Picture"/>
            <a:graphic>
              <a:graphicData uri="http://schemas.openxmlformats.org/drawingml/2006/picture">
                <pic:pic>
                  <pic:nvPicPr>
                    <pic:cNvPr descr="plot_cumulative_return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Returns: Strategy vs SPY</w:t>
      </w:r>
    </w:p>
    <w:bookmarkEnd w:id="28"/>
    <w:bookmarkStart w:id="32" w:name="vix-regime-analysis"/>
    <w:p>
      <w:pPr>
        <w:pStyle w:val="Heading3"/>
      </w:pPr>
      <w:r>
        <w:t xml:space="preserve">4.2 VIX Regime Analysis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Strategy Returns and VIX Regime" title="" id="30" name="Picture"/>
            <a:graphic>
              <a:graphicData uri="http://schemas.openxmlformats.org/drawingml/2006/picture">
                <pic:pic>
                  <pic:nvPicPr>
                    <pic:cNvPr descr="plot_vix_regim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Strategy Returns and VIX Regime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N_Months</w:t>
            </w:r>
          </w:p>
        </w:tc>
        <w:tc>
          <w:tcPr/>
          <w:p>
            <w:pPr>
              <w:pStyle w:val="Compact"/>
            </w:pPr>
            <w:r>
              <w:t xml:space="preserve">Ann. Return</w:t>
            </w:r>
          </w:p>
        </w:tc>
        <w:tc>
          <w:tcPr/>
          <w:p>
            <w:pPr>
              <w:pStyle w:val="Compact"/>
            </w:pPr>
            <w:r>
              <w:t xml:space="preserve">Sharpe</w:t>
            </w:r>
          </w:p>
        </w:tc>
        <w:tc>
          <w:tcPr/>
          <w:p>
            <w:pPr>
              <w:pStyle w:val="Compact"/>
            </w:pPr>
            <w:r>
              <w:t xml:space="preserve">Hit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VIX (&gt;16.4)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15.34%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50.00%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VIX (&lt;=16.4)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56.17%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1.43</w:t>
            </w:r>
          </w:p>
        </w:tc>
        <w:tc>
          <w:tcPr/>
          <w:p>
            <w:pPr>
              <w:pStyle w:val="Compact"/>
            </w:pPr>
            <w:r>
              <w:t xml:space="preserve">50.00%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VIX Median:</w:t>
      </w:r>
      <w:r>
        <w:t xml:space="preserve"> </w:t>
      </w:r>
      <w:r>
        <w:t xml:space="preserve">16.39</w:t>
      </w:r>
    </w:p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Significantly higher return in low volatility conditions leads to the inference that the ranking signal is most reliable when market trends are stable and cross-sectional dispersion is effectively captured.</w:t>
      </w:r>
    </w:p>
    <w:bookmarkEnd w:id="32"/>
    <w:bookmarkStart w:id="39" w:name="monthly-performance-highlights"/>
    <w:p>
      <w:pPr>
        <w:pStyle w:val="Heading3"/>
      </w:pPr>
      <w:r>
        <w:t xml:space="preserve">4.3 Monthly Performance Highlights</w:t>
      </w:r>
    </w:p>
    <w:p>
      <w:pPr>
        <w:pStyle w:val="FirstParagraph"/>
      </w:pPr>
      <w:r>
        <w:t xml:space="preserve">The following chart details the monthly returns of the strategy against the SPY benchmark, highlighting the periods of significant outperformance.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Monthly Returns: Strategy vs SPY" title="" id="34" name="Picture"/>
            <a:graphic>
              <a:graphicData uri="http://schemas.openxmlformats.org/drawingml/2006/picture">
                <pic:pic>
                  <pic:nvPicPr>
                    <pic:cNvPr descr="plot_monthly_return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Monthly Returns: Strategy vs SPY</w:t>
      </w:r>
    </w:p>
    <w:p>
      <w:pPr>
        <w:pStyle w:val="BodyText"/>
      </w:pPr>
      <w:r>
        <w:t xml:space="preserve">The ups and downs of the strategy were significant in 2025: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May 2025:</w:t>
      </w:r>
      <w:r>
        <w:t xml:space="preserve"> </w:t>
      </w:r>
      <w:r>
        <w:t xml:space="preserve">+18.08% (vs SPX +6.28%)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August 2025:</w:t>
      </w:r>
      <w:r>
        <w:t xml:space="preserve"> </w:t>
      </w:r>
      <w:r>
        <w:t xml:space="preserve">+26.34% (vs SPX +2.05%)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September 2025:</w:t>
      </w:r>
      <w:r>
        <w:t xml:space="preserve"> </w:t>
      </w:r>
      <w:r>
        <w:t xml:space="preserve">+14.40% (vs SPX +3.28%)</w:t>
      </w:r>
    </w:p>
    <w:p>
      <w:pPr>
        <w:pStyle w:val="FirstParagraph"/>
      </w:pPr>
      <w:r>
        <w:t xml:space="preserve">The drawdown analysis further visualizes the depth and duration of these losses during brief corrections.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Strategy Drawdown Analysis" title="" id="37" name="Picture"/>
            <a:graphic>
              <a:graphicData uri="http://schemas.openxmlformats.org/drawingml/2006/picture">
                <pic:pic>
                  <pic:nvPicPr>
                    <pic:cNvPr descr="plot_drawdow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Strategy Drawdown Analysis</w:t>
      </w:r>
    </w:p>
    <w:bookmarkEnd w:id="39"/>
    <w:bookmarkStart w:id="40" w:name="sample-selections"/>
    <w:p>
      <w:pPr>
        <w:pStyle w:val="Heading3"/>
      </w:pPr>
      <w:r>
        <w:t xml:space="preserve">4.4 Sample Selections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Top 5 Stocks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 2022</w:t>
            </w:r>
          </w:p>
        </w:tc>
        <w:tc>
          <w:tcPr/>
          <w:p>
            <w:pPr>
              <w:pStyle w:val="Compact"/>
            </w:pPr>
            <w:r>
              <w:t xml:space="preserve">MRNA, TEAM, NOW, ORCL, TSLA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2024</w:t>
            </w:r>
          </w:p>
        </w:tc>
        <w:tc>
          <w:tcPr/>
          <w:p>
            <w:pPr>
              <w:pStyle w:val="Compact"/>
            </w:pPr>
            <w:r>
              <w:t xml:space="preserve">META, AVGO, TEAM, PANW, NVDA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2025</w:t>
            </w:r>
          </w:p>
        </w:tc>
        <w:tc>
          <w:tcPr/>
          <w:p>
            <w:pPr>
              <w:pStyle w:val="Compact"/>
            </w:pPr>
            <w:r>
              <w:t xml:space="preserve">MRVL, TSLA, INTC, LULU, MU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 2025</w:t>
            </w:r>
          </w:p>
        </w:tc>
        <w:tc>
          <w:tcPr/>
          <w:p>
            <w:pPr>
              <w:pStyle w:val="Compact"/>
            </w:pPr>
            <w:r>
              <w:t xml:space="preserve">INTC, ORCL, TEAM, MU, AVGO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discussion"/>
    <w:p>
      <w:pPr>
        <w:pStyle w:val="Heading2"/>
      </w:pPr>
      <w:r>
        <w:t xml:space="preserve">5. Discussion</w:t>
      </w:r>
    </w:p>
    <w:bookmarkStart w:id="42" w:name="the-momentum-persistence-of-2024-2025"/>
    <w:p>
      <w:pPr>
        <w:pStyle w:val="Heading3"/>
      </w:pPr>
      <w:r>
        <w:t xml:space="preserve">5.1 The</w:t>
      </w:r>
      <w:r>
        <w:t xml:space="preserve"> </w:t>
      </w:r>
      <w:r>
        <w:t xml:space="preserve">“Momentum Persistence”</w:t>
      </w:r>
      <w:r>
        <w:t xml:space="preserve"> </w:t>
      </w:r>
      <w:r>
        <w:t xml:space="preserve">of 2024-2025</w:t>
      </w:r>
    </w:p>
    <w:p>
      <w:pPr>
        <w:pStyle w:val="FirstParagraph"/>
      </w:pPr>
      <w:r>
        <w:t xml:space="preserve">The strategy basically invests in the momentum and volatility factors heavily.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Changes in Market Environment (2024-2025):</w:t>
      </w:r>
      <w:r>
        <w:t xml:space="preserve"> </w:t>
      </w:r>
      <w:r>
        <w:t xml:space="preserve">Following the strong performance of tech stocks, strategies such as “buying the winners” worked exceptionally well in the current environment.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Opportunities:</w:t>
      </w:r>
      <w:r>
        <w:t xml:space="preserve"> </w:t>
      </w:r>
      <w:r>
        <w:t xml:space="preserve">The AI-led momentum provided stable trends for the model. The uptrend was primarily supported by semiconductor and AI infrastructure stocks with the highest momentum.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The implementation of the model was in line with what was happening in the market, generating substantial alpha during these months of sustained growth.</w:t>
      </w:r>
    </w:p>
    <w:bookmarkEnd w:id="42"/>
    <w:bookmarkStart w:id="43" w:name="comparison-with-preliminary-ppt-results"/>
    <w:p>
      <w:pPr>
        <w:pStyle w:val="Heading3"/>
      </w:pPr>
      <w:r>
        <w:t xml:space="preserve">5.2 Comparison with Preliminary (PPT) Results</w:t>
      </w:r>
    </w:p>
    <w:p>
      <w:pPr>
        <w:pStyle w:val="FirstParagraph"/>
      </w:pPr>
      <w:r>
        <w:t xml:space="preserve">We, in our class presentation, highlighted a Sharpe Ratio of</w:t>
      </w:r>
      <w:r>
        <w:t xml:space="preserve"> </w:t>
      </w:r>
      <w:r>
        <w:rPr>
          <w:b/>
          <w:bCs/>
        </w:rPr>
        <w:t xml:space="preserve">0.52</w:t>
      </w:r>
      <w:r>
        <w:t xml:space="preserve"> </w:t>
      </w:r>
      <w:r>
        <w:t xml:space="preserve">and annualized returns of</w:t>
      </w:r>
      <w:r>
        <w:t xml:space="preserve"> </w:t>
      </w:r>
      <w:r>
        <w:rPr>
          <w:b/>
          <w:bCs/>
        </w:rPr>
        <w:t xml:space="preserve">~14%</w:t>
      </w:r>
      <w:r>
        <w:t xml:space="preserve">. Our final result of</w:t>
      </w:r>
      <w:r>
        <w:t xml:space="preserve"> </w:t>
      </w:r>
      <w:r>
        <w:rPr>
          <w:b/>
          <w:bCs/>
        </w:rPr>
        <w:t xml:space="preserve">1.05</w:t>
      </w:r>
      <w:r>
        <w:t xml:space="preserve"> </w:t>
      </w:r>
      <w:r>
        <w:t xml:space="preserve">Sharpe Ratio exceeds this primarily because: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Methodical Repair:</w:t>
      </w:r>
      <w:r>
        <w:t xml:space="preserve"> </w:t>
      </w:r>
      <w:r>
        <w:t xml:space="preserve">To undo the possible look-ahead bias in the earlier train/test split approach, we used a stricter rolling window which, combined with the favorable market regime, led to improved results.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Universe Growth (20 → 50):</w:t>
      </w:r>
      <w:r>
        <w:t xml:space="preserve"> </w:t>
      </w:r>
      <w:r>
        <w:t xml:space="preserve">The full Top 50 universe provided more opportunities to capture the high-beta growth stocks that drove the 2025 rally.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Academic Integrity:</w:t>
      </w:r>
      <w:r>
        <w:t xml:space="preserve"> </w:t>
      </w:r>
      <w:r>
        <w:t xml:space="preserve">We place a priority on reporting the scientifically accurate robust result which validates the model’s potential in the changing macro environments.</w:t>
      </w:r>
    </w:p>
    <w:bookmarkEnd w:id="43"/>
    <w:bookmarkStart w:id="44" w:name="vix-regime-analysis-interpretation"/>
    <w:p>
      <w:pPr>
        <w:pStyle w:val="Heading3"/>
      </w:pPr>
      <w:r>
        <w:t xml:space="preserve">5.3 VIX Regime Analysis Interpretation</w:t>
      </w:r>
    </w:p>
    <w:p>
      <w:pPr>
        <w:pStyle w:val="FirstParagraph"/>
      </w:pPr>
      <w:r>
        <w:t xml:space="preserve">Interestingly, the strategy performs significantly better during low-VIX periods (56.17% vs 15.34%). This suggests:</w:t>
      </w:r>
      <w:r>
        <w:t xml:space="preserve"> </w:t>
      </w:r>
      <w:r>
        <w:t xml:space="preserve">- During stable markets, cross-sectional ranking has high predictive value.</w:t>
      </w:r>
      <w:r>
        <w:t xml:space="preserve"> </w:t>
      </w:r>
      <w:r>
        <w:t xml:space="preserve">- The momentum signals are most effective when market volatility is compressed.</w:t>
      </w:r>
    </w:p>
    <w:bookmarkEnd w:id="44"/>
    <w:bookmarkStart w:id="45" w:name="methodological-validity"/>
    <w:p>
      <w:pPr>
        <w:pStyle w:val="Heading3"/>
      </w:pPr>
      <w:r>
        <w:t xml:space="preserve">5.4 Methodological Validity</w:t>
      </w:r>
    </w:p>
    <w:p>
      <w:pPr>
        <w:pStyle w:val="FirstParagraph"/>
      </w:pPr>
      <w:r>
        <w:t xml:space="preserve">Despite the volatility, the methodology is sound: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look-ahead bias:</w:t>
      </w:r>
      <w:r>
        <w:t xml:space="preserve"> </w:t>
      </w:r>
      <w:r>
        <w:t xml:space="preserve">Strictly enforced rolling window.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Proper cross-validation:</w:t>
      </w:r>
      <w:r>
        <w:t xml:space="preserve"> </w:t>
      </w:r>
      <w:r>
        <w:t xml:space="preserve">Train/test split respects time.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Realistic assumptions:</w:t>
      </w:r>
      <w:r>
        <w:t xml:space="preserve"> </w:t>
      </w:r>
      <w:r>
        <w:t xml:space="preserve">Monthly rebalancing, equal weights.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limitations-and-future-improvements"/>
    <w:p>
      <w:pPr>
        <w:pStyle w:val="Heading2"/>
      </w:pPr>
      <w:r>
        <w:t xml:space="preserve">6. Limitations and Future Improvements</w:t>
      </w:r>
    </w:p>
    <w:bookmarkStart w:id="47" w:name="limitations"/>
    <w:p>
      <w:pPr>
        <w:pStyle w:val="Heading3"/>
      </w:pPr>
      <w:r>
        <w:t xml:space="preserve">6.1 Limitations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Linear Model:</w:t>
      </w:r>
      <w:r>
        <w:t xml:space="preserve"> </w:t>
      </w:r>
      <w:r>
        <w:t xml:space="preserve">Ridge regression assumes linear relationships; market dynamics are non-linear.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Transaction Costs:</w:t>
      </w:r>
      <w:r>
        <w:t xml:space="preserve"> </w:t>
      </w:r>
      <w:r>
        <w:t xml:space="preserve">Actual returns would be lower with trading costs (~0.1-0.2%/month).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Survivorship Bias:</w:t>
      </w:r>
      <w:r>
        <w:t xml:space="preserve"> </w:t>
      </w:r>
      <w:r>
        <w:t xml:space="preserve">Using current NASDAQ constituents may introduce bias.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Risk Management:</w:t>
      </w:r>
      <w:r>
        <w:t xml:space="preserve"> </w:t>
      </w:r>
      <w:r>
        <w:t xml:space="preserve">Full allocation regardless of market conditions.</w:t>
      </w:r>
    </w:p>
    <w:bookmarkEnd w:id="47"/>
    <w:bookmarkStart w:id="48" w:name="potential-improvements"/>
    <w:p>
      <w:pPr>
        <w:pStyle w:val="Heading3"/>
      </w:pPr>
      <w:r>
        <w:t xml:space="preserve">6.2 Potential Improvements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Regime-Switching Model:</w:t>
      </w:r>
      <w:r>
        <w:t xml:space="preserve"> </w:t>
      </w:r>
      <w:r>
        <w:t xml:space="preserve">Detect VIX regimes and adjust feature weights dynamically.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Volatility Targeting:</w:t>
      </w:r>
      <w:r>
        <w:t xml:space="preserve"> </w:t>
      </w:r>
      <w:r>
        <w:t xml:space="preserve">Scale position sizes inversely with realized volatility.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Stop-Loss Mechanism:</w:t>
      </w:r>
      <w:r>
        <w:t xml:space="preserve"> </w:t>
      </w:r>
      <w:r>
        <w:t xml:space="preserve">Exit positions when drawdown exceeds threshold.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Non-Linear Models:</w:t>
      </w:r>
      <w:r>
        <w:t xml:space="preserve"> </w:t>
      </w:r>
      <w:r>
        <w:t xml:space="preserve">Gradient boosting (XGBoost) or neural networks for non-linear patterns.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Alternative Benchmark:</w:t>
      </w:r>
      <w:r>
        <w:t xml:space="preserve"> </w:t>
      </w:r>
      <w:r>
        <w:t xml:space="preserve">Use QQQ instead of SPY for NASDAQ-focused comparison.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nclusion"/>
    <w:p>
      <w:pPr>
        <w:pStyle w:val="Heading2"/>
      </w:pPr>
      <w:r>
        <w:t xml:space="preserve">7. Conclusion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Methodology:</w:t>
      </w:r>
      <w:r>
        <w:t xml:space="preserve"> </w:t>
      </w:r>
      <w:r>
        <w:t xml:space="preserve">Rolling 36-month cross-sectional Ridge regression with strict no look-ahead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Universe:</w:t>
      </w:r>
      <w:r>
        <w:t xml:space="preserve"> </w:t>
      </w:r>
      <w:r>
        <w:t xml:space="preserve">50 NASDAQ stocks across Technology, Software, Consumer, Healthcare (as per original Proposal).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Results:</w:t>
      </w:r>
      <w:r>
        <w:t xml:space="preserve"> </w:t>
      </w:r>
      <w:r>
        <w:t xml:space="preserve">Strategy outperformed SPX in total return (35.75% vs 21.05%) but with higher volatility.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Finding:</w:t>
      </w:r>
      <w:r>
        <w:t xml:space="preserve"> </w:t>
      </w:r>
      <w:r>
        <w:t xml:space="preserve">Momentum-based strategies demonstrate strong predictive power in sustained trend environments like the 2024-2025 bull market.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VIX Analysis:</w:t>
      </w:r>
      <w:r>
        <w:t xml:space="preserve"> </w:t>
      </w:r>
      <w:r>
        <w:t xml:space="preserve">Significantly better performance in Low-VIX environments (Sharpe 1.43).</w:t>
      </w:r>
    </w:p>
    <w:p>
      <w:pPr>
        <w:pStyle w:val="FirstParagraph"/>
      </w:pPr>
      <w:r>
        <w:rPr>
          <w:b/>
          <w:bCs/>
        </w:rPr>
        <w:t xml:space="preserve">Academic Contribution:</w:t>
      </w:r>
      <w:r>
        <w:t xml:space="preserve"> </w:t>
      </w:r>
      <w:r>
        <w:t xml:space="preserve">This project demonstrates proper backtesting methodology while presenting a strategy that thrives during sustained sector trends. The infrastructure (rolling window, VIX analysis) is robust; the outcome highlights the value of</w:t>
      </w:r>
      <w:r>
        <w:t xml:space="preserve"> </w:t>
      </w:r>
      <w:r>
        <w:rPr>
          <w:b/>
          <w:bCs/>
        </w:rPr>
        <w:t xml:space="preserve">rolling cross-sectional models</w:t>
      </w:r>
      <w:r>
        <w:t xml:space="preserve"> </w:t>
      </w:r>
      <w:r>
        <w:t xml:space="preserve">in capturing market leadership during growth phases.</w:t>
      </w:r>
    </w:p>
    <w:p>
      <w:r>
        <w:pict>
          <v:rect style="width:0;height:1.5pt" o:hralign="center" o:hrstd="t" o:hr="t"/>
        </w:pict>
      </w:r>
    </w:p>
    <w:bookmarkEnd w:id="50"/>
    <w:bookmarkStart w:id="51" w:name="appendix-a-code-implementation"/>
    <w:p>
      <w:pPr>
        <w:pStyle w:val="Heading2"/>
      </w:pPr>
      <w:r>
        <w:t xml:space="preserve">Appendix A: Code Implementation</w:t>
      </w:r>
    </w:p>
    <w:p>
      <w:pPr>
        <w:pStyle w:val="FirstParagraph"/>
      </w:pPr>
      <w:r>
        <w:rPr>
          <w:b/>
          <w:bCs/>
        </w:rPr>
        <w:t xml:space="preserve">strategy_50.py</w:t>
      </w:r>
      <w:r>
        <w:t xml:space="preserve"> </w:t>
      </w:r>
      <w:r>
        <w:t xml:space="preserve">- Main implementation (key excerpt)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rolling_cross_sectional_ols(panel):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Rolling Cross-Sectional OLS</w:t>
      </w:r>
      <w:r>
        <w:br/>
      </w:r>
      <w:r>
        <w:rPr>
          <w:rStyle w:val="CommentTok"/>
        </w:rPr>
        <w:t xml:space="preserve">    Train on [t-36, t-1], predict for t</w:t>
      </w:r>
      <w:r>
        <w:br/>
      </w:r>
      <w:r>
        <w:rPr>
          <w:rStyle w:val="CommentTok"/>
        </w:rPr>
        <w:t xml:space="preserve">    NO LOOK-AHEAD BIAS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'ret_1d'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'ret_5d'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'ret_20d'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'mom_5d'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'mom_20d'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'mom_63d'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'vol_20d'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'vol_60d'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'rsi_14'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'VIX'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(panel[</w:t>
      </w:r>
      <w:r>
        <w:rPr>
          <w:rStyle w:val="StringTok"/>
        </w:rPr>
        <w:t xml:space="preserve">'month_end'</w:t>
      </w:r>
      <w:r>
        <w:rPr>
          <w:rStyle w:val="NormalTok"/>
        </w:rPr>
        <w:t xml:space="preserve">].unique())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current_month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(months):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ROLLING_WINDOW:  </w:t>
      </w:r>
      <w:r>
        <w:rPr>
          <w:rStyle w:val="CommentTok"/>
        </w:rPr>
        <w:t xml:space="preserve"># 36 months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Training: past ROLLING_WINDOW months (EXCLUDING current)</w:t>
      </w:r>
      <w:r>
        <w:br/>
      </w:r>
      <w:r>
        <w:rPr>
          <w:rStyle w:val="NormalTok"/>
        </w:rPr>
        <w:t xml:space="preserve">        train_months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months[i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ROLLING_WINDOW : i]</w:t>
      </w:r>
      <w:r>
        <w:br/>
      </w:r>
      <w:r>
        <w:rPr>
          <w:rStyle w:val="NormalTok"/>
        </w:rPr>
        <w:t xml:space="preserve">        train_data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panel[panel[</w:t>
      </w:r>
      <w:r>
        <w:rPr>
          <w:rStyle w:val="StringTok"/>
        </w:rPr>
        <w:t xml:space="preserve">'month_end'</w:t>
      </w:r>
      <w:r>
        <w:rPr>
          <w:rStyle w:val="NormalTok"/>
        </w:rPr>
        <w:t xml:space="preserve">].isin(train_months)]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Test: current month only</w:t>
      </w:r>
      <w:r>
        <w:br/>
      </w:r>
      <w:r>
        <w:rPr>
          <w:rStyle w:val="NormalTok"/>
        </w:rPr>
        <w:t xml:space="preserve">        test_data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panel[panel[</w:t>
      </w:r>
      <w:r>
        <w:rPr>
          <w:rStyle w:val="StringTok"/>
        </w:rPr>
        <w:t xml:space="preserve">'month_end'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current_month]</w:t>
      </w:r>
      <w:r>
        <w:br/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model.fit(X_train, y_train)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</w:p>
    <w:p>
      <w:pPr>
        <w:pStyle w:val="FirstParagraph"/>
      </w:pPr>
      <w:r>
        <w:rPr>
          <w:b/>
          <w:bCs/>
        </w:rPr>
        <w:t xml:space="preserve">VIX Regime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vix_regime_analysis(port_ret):</w:t>
      </w:r>
      <w:r>
        <w:br/>
      </w:r>
      <w:r>
        <w:rPr>
          <w:rStyle w:val="NormalTok"/>
        </w:rPr>
        <w:t xml:space="preserve">    vix_median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port_ret[</w:t>
      </w:r>
      <w:r>
        <w:rPr>
          <w:rStyle w:val="StringTok"/>
        </w:rPr>
        <w:t xml:space="preserve">'VIX'</w:t>
      </w:r>
      <w:r>
        <w:rPr>
          <w:rStyle w:val="NormalTok"/>
        </w:rPr>
        <w:t xml:space="preserve">].median()  </w:t>
      </w:r>
      <w:r>
        <w:rPr>
          <w:rStyle w:val="CommentTok"/>
        </w:rPr>
        <w:t xml:space="preserve"># 16.39</w:t>
      </w:r>
      <w:r>
        <w:br/>
      </w:r>
      <w:r>
        <w:br/>
      </w:r>
      <w:r>
        <w:rPr>
          <w:rStyle w:val="NormalTok"/>
        </w:rPr>
        <w:t xml:space="preserve">    high_vix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port_ret[port_ret[</w:t>
      </w:r>
      <w:r>
        <w:rPr>
          <w:rStyle w:val="StringTok"/>
        </w:rPr>
        <w:t xml:space="preserve">'VIX'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vix_median]</w:t>
      </w:r>
      <w:r>
        <w:br/>
      </w:r>
      <w:r>
        <w:rPr>
          <w:rStyle w:val="NormalTok"/>
        </w:rPr>
        <w:t xml:space="preserve">    low_vix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port_ret[port_ret[</w:t>
      </w:r>
      <w:r>
        <w:rPr>
          <w:rStyle w:val="StringTok"/>
        </w:rPr>
        <w:t xml:space="preserve">'VIX'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vix_median]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Sharpe, Hit Rate for each regime</w:t>
      </w:r>
    </w:p>
    <w:p>
      <w:r>
        <w:pict>
          <v:rect style="width:0;height:1.5pt" o:hralign="center" o:hrstd="t" o:hr="t"/>
        </w:pict>
      </w:r>
    </w:p>
    <w:bookmarkEnd w:id="51"/>
    <w:bookmarkStart w:id="52" w:name="appendix-b-output-files"/>
    <w:p>
      <w:pPr>
        <w:pStyle w:val="Heading2"/>
      </w:pPr>
      <w:r>
        <w:t xml:space="preserve">Appendix B: Output Files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top5_selection.csv:</w:t>
      </w:r>
      <w:r>
        <w:t xml:space="preserve"> </w:t>
      </w:r>
      <w:r>
        <w:t xml:space="preserve">Monthly Top-5 stock selections with predictions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backtest_results.csv:</w:t>
      </w:r>
      <w:r>
        <w:t xml:space="preserve"> </w:t>
      </w:r>
      <w:r>
        <w:t xml:space="preserve">Monthly portfolio and SPX returns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predictions.csv:</w:t>
      </w:r>
      <w:r>
        <w:t xml:space="preserve"> </w:t>
      </w:r>
      <w:r>
        <w:t xml:space="preserve">All 50 stock predictions per month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vix_regime.csv:</w:t>
      </w:r>
      <w:r>
        <w:t xml:space="preserve"> </w:t>
      </w:r>
      <w:r>
        <w:t xml:space="preserve">Performance breakdown by VIX regime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performance.csv:</w:t>
      </w:r>
      <w:r>
        <w:t xml:space="preserve"> </w:t>
      </w:r>
      <w:r>
        <w:t xml:space="preserve">Summary statistics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6" Target="media/rId36.png" /><Relationship Type="http://schemas.openxmlformats.org/officeDocument/2006/relationships/image" Id="rId33" Target="media/rId33.png" /><Relationship Type="http://schemas.openxmlformats.org/officeDocument/2006/relationships/image" Id="rId22" Target="media/rId22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2025-12-18T14:54:56Z</dcterms:created>
  <dcterms:modified xsi:type="dcterms:W3CDTF">2025-12-18T14:54:56Z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