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5DD1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313" w:beforeLines="100" w:after="469" w:afterLines="150" w:line="360" w:lineRule="auto"/>
        <w:jc w:val="center"/>
        <w:textAlignment w:val="auto"/>
        <w:outlineLvl w:val="9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考古勘探项目风险评估与安全防护方案</w:t>
      </w:r>
    </w:p>
    <w:p w14:paraId="048C23B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3" w:line="360" w:lineRule="auto"/>
        <w:jc w:val="both"/>
        <w:textAlignment w:val="auto"/>
        <w:outlineLvl w:val="9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第一章 总则</w:t>
      </w:r>
    </w:p>
    <w:p w14:paraId="051F515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1.1 编制目的与依据</w:t>
      </w:r>
    </w:p>
    <w:p w14:paraId="0481AE3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为规范考古勘探项目作业行为，科学评估勘探过程中的各类风险，建立健全安全防护体系，保障文物安全、人员安全和环境安全，依据</w:t>
      </w:r>
      <w:r>
        <w:rPr>
          <w:rFonts w:hint="eastAsia"/>
          <w:sz w:val="24"/>
          <w:szCs w:val="24"/>
          <w:lang w:val="en-US" w:eastAsia="zh-CN"/>
        </w:rPr>
        <w:t>《中华人民共和国文物保护法》（2024年修订）、《田野考古工作规程》、《考古勘探工作规程（试行）》、</w:t>
      </w:r>
      <w:r>
        <w:rPr>
          <w:rFonts w:hint="eastAsia"/>
          <w:sz w:val="24"/>
          <w:szCs w:val="24"/>
        </w:rPr>
        <w:t>《考古发掘管理办法》等法律法规和行业标准，结合本项目实际情况，制定本方案。</w:t>
      </w:r>
    </w:p>
    <w:p w14:paraId="03BE315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 适用范围</w:t>
      </w:r>
    </w:p>
    <w:p w14:paraId="037833FB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本方案适用于本考古勘探项</w:t>
      </w:r>
      <w:bookmarkStart w:id="0" w:name="_GoBack"/>
      <w:bookmarkEnd w:id="0"/>
      <w:r>
        <w:rPr>
          <w:rFonts w:hint="eastAsia"/>
          <w:sz w:val="24"/>
          <w:szCs w:val="24"/>
        </w:rPr>
        <w:t>目范围内的所有作业活动，包括但不限于地面调查、钻探、探方发掘、地球物理勘探、测绘记录、样品采集、文物提取与保护、资料整理等全过程。方案适用于项目所有参建单位、管理人员、技术人员和作业人员。</w:t>
      </w:r>
    </w:p>
    <w:p w14:paraId="04D14DA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1.3 术语和定义</w:t>
      </w:r>
    </w:p>
    <w:p w14:paraId="036DEAA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考古勘探：指为获取地下文物埋藏信息而进行的非发掘性调查工作，包括地面踏查、钻探、探方、地球物理勘探等技术手段。</w:t>
      </w:r>
    </w:p>
    <w:p w14:paraId="037F02E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探方：考古勘探的基本工作单元，通常为5×5米或10×10米的方形区域，用于系统揭露地层。</w:t>
      </w:r>
    </w:p>
    <w:p w14:paraId="0321A5D0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探沟：为探查地下文物分布而开挖的长条形沟槽，宽度通常为1-2米。</w:t>
      </w:r>
    </w:p>
    <w:p w14:paraId="04EEE0D4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地层学：考古学基本方法，根据地层叠压关系判断文物相对年代。</w:t>
      </w:r>
    </w:p>
    <w:p w14:paraId="020B85F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文物本体风险：指文物在勘探过程中可能遭受的物理、化学、生物等方面的损害风险。</w:t>
      </w:r>
    </w:p>
    <w:p w14:paraId="0417D51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重大风险：指可能导致文物严重损坏、人员重伤或死亡、重大财产损失或环境严重污染的风险，风险等级为Ⅰ级。</w:t>
      </w:r>
    </w:p>
    <w:p w14:paraId="042000C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1.4 基本原则</w:t>
      </w:r>
    </w:p>
    <w:p w14:paraId="0317866C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（1）预防为主原则：坚持风险预控、关口前移，全面辨识评估风险，制定有效防范措施。</w:t>
      </w:r>
    </w:p>
    <w:p w14:paraId="00B2BC5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（2）文物保护优先原则：将文物安全置于首位，任何勘探作业不得对文物本体造成不可逆损害。</w:t>
      </w:r>
    </w:p>
    <w:p w14:paraId="054B0D2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（3）分级管控原则：根据风险等级实施差异化管控措施，重大风险实行重点监控。</w:t>
      </w:r>
    </w:p>
    <w:p w14:paraId="00B2E17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（4）全员参与原则：建立全员安全生产责任制，确保各级人员履行安全职责。</w:t>
      </w:r>
    </w:p>
    <w:p w14:paraId="0271234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（5）持续改进原则：根据作业进展和风险变化动态调整管控措施，不断完善安全防护体系。</w:t>
      </w:r>
    </w:p>
    <w:p w14:paraId="04CE5A96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3" w:line="360" w:lineRule="auto"/>
        <w:jc w:val="both"/>
        <w:textAlignment w:val="auto"/>
        <w:outlineLvl w:val="9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第二章 风险评估体系</w:t>
      </w:r>
    </w:p>
    <w:p w14:paraId="0236DC3E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2.1 风险识别</w:t>
      </w:r>
    </w:p>
    <w:p w14:paraId="01D76BE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考古勘探项目风险识别覆盖作业全流程、全要素，主要包括以下四类风险：</w:t>
      </w:r>
    </w:p>
    <w:p w14:paraId="0445A834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（1）文物本体风险：包括勘探设备直接损伤文物、不当取样破坏文物完整性、温湿度变化导致文物劣化、微生物侵蚀、震动影响脆弱文物稳定性等。</w:t>
      </w:r>
    </w:p>
    <w:p w14:paraId="0379DA5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（2）人员安全风险：包括坍塌、滑坡、坠落、机械伤害、触电、有毒有害气体（如墓室积气）、极端天气影响、野生动物侵害、传染病等。</w:t>
      </w:r>
    </w:p>
    <w:p w14:paraId="0345B54A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（3）环境风险：包括水土流失、植被破坏、地下水污染、土壤污染、噪声污染、振动影响周边建筑物等。</w:t>
      </w:r>
    </w:p>
    <w:p w14:paraId="042E6AE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（4）设备与资料风险：包括勘探设备故障、测量仪器失准、数据丢失、记录资料损毁、样品污染或混淆等。</w:t>
      </w:r>
    </w:p>
    <w:p w14:paraId="0527C53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2.2 风险评估方法与标准</w:t>
      </w:r>
    </w:p>
    <w:p w14:paraId="0302450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采用风险矩阵法进行定性与定量相结合的风险评估，根据风险发生的可能性（L）和后果严重性（S）确定风险等级（R）：R = L × S。</w:t>
      </w:r>
    </w:p>
    <w:p w14:paraId="0218E33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风险等级划分标准如下表所示：</w:t>
      </w:r>
    </w:p>
    <w:p w14:paraId="41D988E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rFonts w:hint="eastAsia"/>
          <w:sz w:val="24"/>
          <w:szCs w:val="24"/>
        </w:rPr>
      </w:pPr>
    </w:p>
    <w:p w14:paraId="6043AFB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rFonts w:hint="eastAsia"/>
          <w:sz w:val="24"/>
          <w:szCs w:val="24"/>
        </w:rPr>
      </w:pPr>
    </w:p>
    <w:p w14:paraId="71DC18C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rFonts w:hint="eastAsia"/>
          <w:sz w:val="24"/>
          <w:szCs w:val="24"/>
        </w:rPr>
      </w:pPr>
    </w:p>
    <w:p w14:paraId="02D0AF46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表1 风险可能性（L）分级标准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6"/>
        <w:gridCol w:w="5686"/>
      </w:tblGrid>
      <w:tr w14:paraId="45661DBE">
        <w:tc>
          <w:tcPr>
            <w:tcW w:w="2836" w:type="dxa"/>
            <w:vAlign w:val="bottom"/>
          </w:tcPr>
          <w:p w14:paraId="3593BD37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等级</w:t>
            </w:r>
          </w:p>
        </w:tc>
        <w:tc>
          <w:tcPr>
            <w:tcW w:w="5686" w:type="dxa"/>
            <w:vAlign w:val="bottom"/>
          </w:tcPr>
          <w:p w14:paraId="2FCC0DBE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标准</w:t>
            </w:r>
          </w:p>
        </w:tc>
      </w:tr>
      <w:tr w14:paraId="00CA1A72">
        <w:tc>
          <w:tcPr>
            <w:tcW w:w="2836" w:type="dxa"/>
            <w:vAlign w:val="center"/>
          </w:tcPr>
          <w:p w14:paraId="00CA14F5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L5（几乎肯定）</w:t>
            </w:r>
          </w:p>
        </w:tc>
        <w:tc>
          <w:tcPr>
            <w:tcW w:w="5686" w:type="dxa"/>
            <w:vAlign w:val="center"/>
          </w:tcPr>
          <w:p w14:paraId="7BACBDF0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在项目周期内极有可能发生</w:t>
            </w:r>
          </w:p>
        </w:tc>
      </w:tr>
      <w:tr w14:paraId="31379E6A">
        <w:tc>
          <w:tcPr>
            <w:tcW w:w="2836" w:type="dxa"/>
            <w:vAlign w:val="center"/>
          </w:tcPr>
          <w:p w14:paraId="148C2BF3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L4（很可能）</w:t>
            </w:r>
          </w:p>
        </w:tc>
        <w:tc>
          <w:tcPr>
            <w:tcW w:w="5686" w:type="dxa"/>
            <w:vAlign w:val="center"/>
          </w:tcPr>
          <w:p w14:paraId="33FDEA71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在项目周期内很可能发生</w:t>
            </w:r>
          </w:p>
        </w:tc>
      </w:tr>
      <w:tr w14:paraId="567049CA">
        <w:tc>
          <w:tcPr>
            <w:tcW w:w="2836" w:type="dxa"/>
            <w:vAlign w:val="center"/>
          </w:tcPr>
          <w:p w14:paraId="607A397A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L3（可能）</w:t>
            </w:r>
          </w:p>
        </w:tc>
        <w:tc>
          <w:tcPr>
            <w:tcW w:w="5686" w:type="dxa"/>
            <w:vAlign w:val="center"/>
          </w:tcPr>
          <w:p w14:paraId="56E90DEF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在项目周期内可能发生</w:t>
            </w:r>
          </w:p>
        </w:tc>
      </w:tr>
      <w:tr w14:paraId="5059A002">
        <w:tc>
          <w:tcPr>
            <w:tcW w:w="2836" w:type="dxa"/>
            <w:vAlign w:val="center"/>
          </w:tcPr>
          <w:p w14:paraId="5C022F24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L2（不太可能）</w:t>
            </w:r>
          </w:p>
        </w:tc>
        <w:tc>
          <w:tcPr>
            <w:tcW w:w="5686" w:type="dxa"/>
            <w:vAlign w:val="center"/>
          </w:tcPr>
          <w:p w14:paraId="68988E53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在项目周期内不太可能发生</w:t>
            </w:r>
          </w:p>
        </w:tc>
      </w:tr>
      <w:tr w14:paraId="43D45388">
        <w:tc>
          <w:tcPr>
            <w:tcW w:w="2836" w:type="dxa"/>
            <w:vAlign w:val="center"/>
          </w:tcPr>
          <w:p w14:paraId="3B440119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L1（极不可能）</w:t>
            </w:r>
          </w:p>
        </w:tc>
        <w:tc>
          <w:tcPr>
            <w:tcW w:w="5686" w:type="dxa"/>
            <w:vAlign w:val="center"/>
          </w:tcPr>
          <w:p w14:paraId="5FE85B84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在项目周期内极不可能发生</w:t>
            </w:r>
          </w:p>
        </w:tc>
      </w:tr>
    </w:tbl>
    <w:p w14:paraId="038E42B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</w:p>
    <w:p w14:paraId="058DB05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表2 风险后果严重性（S）分级标准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5686"/>
      </w:tblGrid>
      <w:tr w14:paraId="07FDA7C2">
        <w:tc>
          <w:tcPr>
            <w:tcW w:w="2836" w:type="dxa"/>
            <w:vAlign w:val="bottom"/>
          </w:tcPr>
          <w:p w14:paraId="0912331D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等级</w:t>
            </w:r>
          </w:p>
        </w:tc>
        <w:tc>
          <w:tcPr>
            <w:tcW w:w="5686" w:type="dxa"/>
            <w:vAlign w:val="bottom"/>
          </w:tcPr>
          <w:p w14:paraId="6439CCA7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标准</w:t>
            </w:r>
          </w:p>
        </w:tc>
      </w:tr>
      <w:tr w14:paraId="1874A23E">
        <w:tc>
          <w:tcPr>
            <w:tcW w:w="2836" w:type="dxa"/>
            <w:vAlign w:val="center"/>
          </w:tcPr>
          <w:p w14:paraId="4E212E38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S5（灾难性）</w:t>
            </w:r>
          </w:p>
        </w:tc>
        <w:tc>
          <w:tcPr>
            <w:tcW w:w="5686" w:type="dxa"/>
            <w:vAlign w:val="center"/>
          </w:tcPr>
          <w:p w14:paraId="2A860DBC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文物严重损毁不可修复、人员死亡、重大环境事故</w:t>
            </w:r>
          </w:p>
        </w:tc>
      </w:tr>
      <w:tr w14:paraId="056E1630">
        <w:tc>
          <w:tcPr>
            <w:tcW w:w="2836" w:type="dxa"/>
            <w:vAlign w:val="center"/>
          </w:tcPr>
          <w:p w14:paraId="4180AE55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S4（重大）</w:t>
            </w:r>
          </w:p>
        </w:tc>
        <w:tc>
          <w:tcPr>
            <w:tcW w:w="5686" w:type="dxa"/>
            <w:vAlign w:val="center"/>
          </w:tcPr>
          <w:p w14:paraId="44569876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文物重大损伤、人员重伤、较大环境事故</w:t>
            </w:r>
          </w:p>
        </w:tc>
      </w:tr>
      <w:tr w14:paraId="05517F6B">
        <w:tc>
          <w:tcPr>
            <w:tcW w:w="2836" w:type="dxa"/>
            <w:vAlign w:val="center"/>
          </w:tcPr>
          <w:p w14:paraId="4E54BB1F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S3（中等）</w:t>
            </w:r>
          </w:p>
        </w:tc>
        <w:tc>
          <w:tcPr>
            <w:tcW w:w="5686" w:type="dxa"/>
            <w:vAlign w:val="center"/>
          </w:tcPr>
          <w:p w14:paraId="7ADC6BD2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文物中度损伤、人员轻伤、一般环境事故</w:t>
            </w:r>
          </w:p>
        </w:tc>
      </w:tr>
      <w:tr w14:paraId="039DFCEC">
        <w:tc>
          <w:tcPr>
            <w:tcW w:w="2836" w:type="dxa"/>
            <w:vAlign w:val="center"/>
          </w:tcPr>
          <w:p w14:paraId="4141AD4F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S2（轻微）</w:t>
            </w:r>
          </w:p>
        </w:tc>
        <w:tc>
          <w:tcPr>
            <w:tcW w:w="5686" w:type="dxa"/>
            <w:vAlign w:val="center"/>
          </w:tcPr>
          <w:p w14:paraId="52D031CF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文物轻微损伤、人员轻微伤害、局部环境影响</w:t>
            </w:r>
          </w:p>
        </w:tc>
      </w:tr>
      <w:tr w14:paraId="631961FA">
        <w:tc>
          <w:tcPr>
            <w:tcW w:w="2836" w:type="dxa"/>
            <w:vAlign w:val="center"/>
          </w:tcPr>
          <w:p w14:paraId="6F01A552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S1（可忽略）</w:t>
            </w:r>
          </w:p>
        </w:tc>
        <w:tc>
          <w:tcPr>
            <w:tcW w:w="5686" w:type="dxa"/>
            <w:vAlign w:val="center"/>
          </w:tcPr>
          <w:p w14:paraId="709E45A7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无实质性影响</w:t>
            </w:r>
          </w:p>
        </w:tc>
      </w:tr>
    </w:tbl>
    <w:p w14:paraId="752C3D0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auto"/>
        <w:outlineLvl w:val="9"/>
        <w:rPr>
          <w:rFonts w:hint="eastAsia"/>
          <w:sz w:val="24"/>
          <w:szCs w:val="24"/>
        </w:rPr>
      </w:pPr>
    </w:p>
    <w:p w14:paraId="0256543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表3 风险等级（R）矩阵及管控要求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5306"/>
      </w:tblGrid>
      <w:tr w14:paraId="3330889E">
        <w:tc>
          <w:tcPr>
            <w:tcW w:w="3216" w:type="dxa"/>
            <w:vAlign w:val="bottom"/>
          </w:tcPr>
          <w:p w14:paraId="396EA658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等级</w:t>
            </w:r>
          </w:p>
        </w:tc>
        <w:tc>
          <w:tcPr>
            <w:tcW w:w="5306" w:type="dxa"/>
            <w:vAlign w:val="bottom"/>
          </w:tcPr>
          <w:p w14:paraId="111DBA8B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标准</w:t>
            </w:r>
          </w:p>
        </w:tc>
      </w:tr>
      <w:tr w14:paraId="7184394E">
        <w:tc>
          <w:tcPr>
            <w:tcW w:w="3216" w:type="dxa"/>
            <w:vAlign w:val="center"/>
          </w:tcPr>
          <w:p w14:paraId="102D82E6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Ⅰ级（重大风险，R≥15）</w:t>
            </w:r>
          </w:p>
        </w:tc>
        <w:tc>
          <w:tcPr>
            <w:tcW w:w="5306" w:type="dxa"/>
            <w:vAlign w:val="center"/>
          </w:tcPr>
          <w:p w14:paraId="2E370D19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立即停止作业，制定专项方案，报上级审批</w:t>
            </w:r>
          </w:p>
        </w:tc>
      </w:tr>
      <w:tr w14:paraId="2AD72DD9">
        <w:tc>
          <w:tcPr>
            <w:tcW w:w="3216" w:type="dxa"/>
            <w:vAlign w:val="center"/>
          </w:tcPr>
          <w:p w14:paraId="1C379B95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Ⅱ级（较大风险，10≤R＜15）</w:t>
            </w:r>
          </w:p>
        </w:tc>
        <w:tc>
          <w:tcPr>
            <w:tcW w:w="5306" w:type="dxa"/>
            <w:vAlign w:val="center"/>
          </w:tcPr>
          <w:p w14:paraId="10F56273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限期整改，重点监控，项目负责人督办</w:t>
            </w:r>
          </w:p>
        </w:tc>
      </w:tr>
      <w:tr w14:paraId="23A019A7">
        <w:tc>
          <w:tcPr>
            <w:tcW w:w="3216" w:type="dxa"/>
            <w:vAlign w:val="center"/>
          </w:tcPr>
          <w:p w14:paraId="56B73D67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Ⅲ级（一般风险，5≤R＜10）</w:t>
            </w:r>
          </w:p>
        </w:tc>
        <w:tc>
          <w:tcPr>
            <w:tcW w:w="5306" w:type="dxa"/>
            <w:vAlign w:val="center"/>
          </w:tcPr>
          <w:p w14:paraId="5D11BA5B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制定整改措施，定期检查</w:t>
            </w:r>
          </w:p>
        </w:tc>
      </w:tr>
      <w:tr w14:paraId="711426E7">
        <w:tc>
          <w:tcPr>
            <w:tcW w:w="3216" w:type="dxa"/>
            <w:vAlign w:val="center"/>
          </w:tcPr>
          <w:p w14:paraId="3D8F85D6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Ⅳ级（低风险，R＜5）</w:t>
            </w:r>
          </w:p>
        </w:tc>
        <w:tc>
          <w:tcPr>
            <w:tcW w:w="5306" w:type="dxa"/>
            <w:vAlign w:val="center"/>
          </w:tcPr>
          <w:p w14:paraId="35E3AEB6">
            <w:pPr>
              <w:pStyle w:val="4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日常监控，纳入常规管理</w:t>
            </w:r>
          </w:p>
        </w:tc>
      </w:tr>
    </w:tbl>
    <w:p w14:paraId="02EC96E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2.3 风险控制措施制定</w:t>
      </w:r>
    </w:p>
    <w:p w14:paraId="01108AC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根据风险评估结果，按照以下优先级制定风险控制措施：</w:t>
      </w:r>
    </w:p>
    <w:p w14:paraId="05DAB1F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（1）消除措施：通过改变工艺、技术或作业方式从根本上消除风险源。</w:t>
      </w:r>
    </w:p>
    <w:p w14:paraId="0535390C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（2）替代措施：用低风险设备、材料或方法替代高风险因素。</w:t>
      </w:r>
    </w:p>
    <w:p w14:paraId="037B574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（3）工程控制措施：通过物理隔离、防护设施、通风系统等技术手段控制风险。</w:t>
      </w:r>
    </w:p>
    <w:p w14:paraId="0225C4F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（4）管理控制措施：制定规章制度、操作规程、培训教育、监督检查等管理手段。</w:t>
      </w:r>
    </w:p>
    <w:p w14:paraId="0392CBA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（5）个体防护措施：配备和使用个人防护装备作为最后一道防线。</w:t>
      </w:r>
    </w:p>
    <w:p w14:paraId="01489CEC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2.4 风险动态监测与更新</w:t>
      </w:r>
    </w:p>
    <w:p w14:paraId="018A2FD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建立风险动态监测机制，每周对作业现场进行风险评估更新。当出现以下情况时，应立即重新进行风险评估：</w:t>
      </w:r>
    </w:p>
    <w:p w14:paraId="0333ACE4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（1）发现新的文物遗存或重要考古现象</w:t>
      </w:r>
    </w:p>
    <w:p w14:paraId="01F3ECF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（2）作业环境发生重大变化（如暴雨、地震等）</w:t>
      </w:r>
    </w:p>
    <w:p w14:paraId="00E49EF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（3）引入新的设备、技术或工艺</w:t>
      </w:r>
    </w:p>
    <w:p w14:paraId="01C2B54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（4）发生未遂事故或险肇事件</w:t>
      </w:r>
    </w:p>
    <w:p w14:paraId="05C9B80E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（5）法律法规或标准规范更新</w:t>
      </w:r>
    </w:p>
    <w:p w14:paraId="0595CB3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3" w:line="360" w:lineRule="auto"/>
        <w:jc w:val="both"/>
        <w:textAlignment w:val="auto"/>
        <w:outlineLvl w:val="9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第三章 安全防护体系</w:t>
      </w:r>
    </w:p>
    <w:p w14:paraId="014EFB2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3.1 人员安全管理</w:t>
      </w:r>
    </w:p>
    <w:p w14:paraId="04AB888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（1）资质要求：所有参与考古勘探的人员必须具备相应的专业资质。项目负责人应具有考古领队资质，技术人员应具备相关专业技术职称，作业人员应经过专业培训并考核合格。</w:t>
      </w:r>
    </w:p>
    <w:p w14:paraId="0208C90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培训教育：实行三级安全教育制度。入场前进行项目级安全培训，内容包括文物保护法规、勘探安全规程、应急处理等；作业前进行班组级安全交底，明确当日风险及防控措施；定期组织专项技能培训和应急演练，每年不少于2次。</w:t>
      </w:r>
    </w:p>
    <w:p w14:paraId="057ED65E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（3）个人防护装备：根据作业风险配备相应的个人防护装备，包括但不限于：安全帽（符合GB 2811）、防砸防刺穿安全鞋、防尘口罩、防护手套、反光背心、安全带（高空作业）、护目镜等。所有防护装备应定期检查维护，确保有效。</w:t>
      </w:r>
    </w:p>
    <w:p w14:paraId="0225BEA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作业行为规范：严格遵守'十不准'规定：不准酒后上岗、不准无证操作设备、不准在危险区域逗留、不准私自进入未支护探方、不准单人夜间作业、不准违反文物提取规程、不准破坏勘探现场环境、不准隐瞒事故隐患、不准擅自改变作业方案、不准违章指挥冒险作业。</w:t>
      </w:r>
    </w:p>
    <w:p w14:paraId="056BF05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3.2 设备与物资管理</w:t>
      </w:r>
    </w:p>
    <w:p w14:paraId="026A764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勘探设备安全要求：所有勘探设备（钻机、探铲、测量仪器等）使用前应进行安全检查，确保性能良好。特种设备（如起重机、挖掘机等）应经检验合格，操作人员持证上岗。设备运行中严格执行操作规程，定期维护保养。</w:t>
      </w:r>
    </w:p>
    <w:p w14:paraId="025A332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（2）文物保护专用设备：配备文物提取专用工具（竹签、毛刷、托盘等）、环境监测仪器（温湿度计、光照度计）、应急保护材料（无酸纸、缓冲材料、临时覆盖材料）等，确保文物安全。</w:t>
      </w:r>
    </w:p>
    <w:p w14:paraId="04749EB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应急物资储备：现场配备充足的应急救援物资，包括急救箱（含常用药品和器械）、消防器材（灭火器、消防沙）、应急照明、通讯设备、应急食品和饮用水等。应急物资应定点存放、标识清晰、定期检查更新。</w:t>
      </w:r>
    </w:p>
    <w:p w14:paraId="051808B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3.3 现场环境安全</w:t>
      </w:r>
    </w:p>
    <w:p w14:paraId="056716B0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（1）作业区域划分：按照功能将现场划分为勘探作业区、文物保护区、材料堆放区、设备停放区、生活办公区等，各区域间设置明显界限和安全通道。</w:t>
      </w:r>
    </w:p>
    <w:p w14:paraId="0406E14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（2）危险区域隔离：对探方、探沟、边坡、基坑等危险区域设置硬质围栏（高度不低于1.2米）和安全警示标志（符合GB 2894），夜间设置警示灯。严禁无关人员进入危险区域。</w:t>
      </w:r>
    </w:p>
    <w:p w14:paraId="039DE75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（3）气象与地质监控：每天关注天气预报，遇暴雨、大风（6级以上）、雷电等恶劣天气立即停止户外作业。对边坡、基坑等实施定期监测（每天至少1次），发现裂缝、沉降等异常立即采取措施。</w:t>
      </w:r>
    </w:p>
    <w:p w14:paraId="04792DD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（4）地下管线保护：作业前通过查阅资料、物探、人工探查等方式查明地下管线分布，与管线产权单位确认安全距离。在管线附近作业时，采用人工探挖，严禁机械直接挖掘。</w:t>
      </w:r>
    </w:p>
    <w:p w14:paraId="03543910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3.4 文物保护专项措施</w:t>
      </w:r>
    </w:p>
    <w:p w14:paraId="0225E044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（1）勘探技术规范：严格执行《田野考古工作规程》技术要求。探方发掘遵循'由上而下、由晚及早'的地层学原则，探铲使用避免对文物直接冲击，地球物理勘探设备参数设置应避免对文物产生电磁干扰。</w:t>
      </w:r>
    </w:p>
    <w:p w14:paraId="04E0062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文物发现应急处理：发现文物或重要遗迹时，立即执行'三停止、三报告'程序：停止当前作业、停止设备运行、停止周边振动作业；报告项目负责人、报告建设单位、报告文物行政部门。对发现区域进行临时保护（覆盖防水布、设置围栏）。</w:t>
      </w:r>
    </w:p>
    <w:p w14:paraId="0198EEE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（3）文物提取与记录：文物提取应由专业技术人员操作，使用专用工具，轻拿轻放。提取过程进行全程影像记录，填写文物提取登记表，详细记录文物位置、层位、现状等信息。</w:t>
      </w:r>
    </w:p>
    <w:p w14:paraId="0107C326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（4）现场保护技术：对揭露的遗迹采取必要的临时保护措施，如覆盖遮阳网防止暴晒、搭建防雨棚防止雨水冲刷、设置排水沟防止积水浸泡、喷洒加固剂防止风化等。</w:t>
      </w:r>
    </w:p>
    <w:p w14:paraId="04E40A6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3" w:line="360" w:lineRule="auto"/>
        <w:jc w:val="both"/>
        <w:textAlignment w:val="auto"/>
        <w:outlineLvl w:val="9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第四章 应急预案</w:t>
      </w:r>
    </w:p>
    <w:p w14:paraId="03FE1995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4.1 应急组织机构与职责</w:t>
      </w:r>
    </w:p>
    <w:p w14:paraId="01F06E0B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成立考古勘探项目应急指挥部，由项目负责人任总指挥，下设现场处置组、技术支持组、后勤保障组、医疗救护组、信息联络组。各小组职责明确，实行24小时值班制度。</w:t>
      </w:r>
    </w:p>
    <w:p w14:paraId="05BA403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4.2 应急响应程序</w:t>
      </w:r>
    </w:p>
    <w:p w14:paraId="0576725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应急响应分为三级：</w:t>
      </w:r>
    </w:p>
    <w:p w14:paraId="02901A32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（1）Ⅲ级响应（一般事故）：现场人员立即处置，报告班组长，班组长组织救援，30分钟内报告项目负责人。</w:t>
      </w:r>
    </w:p>
    <w:p w14:paraId="0364F89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（2）Ⅱ级响应（较大事故）：项目负责人启动应急预案，应急指挥部成员赶赴现场，1小时内报告建设单位和文物行政部门。</w:t>
      </w:r>
    </w:p>
    <w:p w14:paraId="048F6C7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（3）Ⅰ级响应（重大事故）：立即报告地方政府和上级主管部门，请求外部救援力量支援，配合政府开展应急救援。</w:t>
      </w:r>
    </w:p>
    <w:p w14:paraId="054B2F18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4.3 专项应急预案</w:t>
      </w:r>
    </w:p>
    <w:p w14:paraId="00FCD39F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（1）文物安全应急预案：发现文物受损或面临紧急危险时，立即采取隔离保护措施，由专业技术人员评估损坏程度，制定抢救性保护方案，必要时邀请专家现场指导。</w:t>
      </w:r>
    </w:p>
    <w:p w14:paraId="034EA16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（2）人员伤亡应急预案：发生人员伤亡事故，立即拨打120急救电话，同时进行现场急救（止血、包扎、固定、心肺复苏等），保护事故现场，配合事故调查。</w:t>
      </w:r>
    </w:p>
    <w:p w14:paraId="05BEB17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（3）自然灾害应急预案：收到灾害预警后，立即停止作业，撤离人员设备到安全区域。灾后检查现场受损情况，评估风险后恢复作业。</w:t>
      </w:r>
    </w:p>
    <w:p w14:paraId="050041EE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（4）火灾应急预案：发现火情立即使用灭火器材扑救初起火灾，同时报警。组织人员疏散，切断电源，转移易燃易爆物品。</w:t>
      </w:r>
    </w:p>
    <w:p w14:paraId="0486D5BB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4.4 应急演练与培训</w:t>
      </w:r>
    </w:p>
    <w:p w14:paraId="01C5C23C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每季度至少组织1次应急演练，演练内容包括文物抢救、人员救护、消防灭火、紧急疏散等。演练后进行评估总结，完善应急预案。每年对全员进行应急知识培训和考核，确保掌握基本应急技能。</w:t>
      </w:r>
    </w:p>
    <w:p w14:paraId="01370A5D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3" w:line="360" w:lineRule="auto"/>
        <w:jc w:val="both"/>
        <w:textAlignment w:val="auto"/>
        <w:outlineLvl w:val="9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第五章 监督与管理</w:t>
      </w:r>
    </w:p>
    <w:p w14:paraId="02B7AB4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5.1 责任体系</w:t>
      </w:r>
    </w:p>
    <w:p w14:paraId="0585539A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建立'建设单位统一领导、勘探单位全面负责、监理单位监督检查、作业人员具体落实'的四级责任体系。明确各岗位安全职责，签订安全生产责任书，实行责任追究制度。</w:t>
      </w:r>
    </w:p>
    <w:p w14:paraId="01E26B5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5.2 检查与考核</w:t>
      </w:r>
    </w:p>
    <w:p w14:paraId="022F1E21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（1）日常检查：班组长每天对作业现场进行安全检查，填写检查记录。</w:t>
      </w:r>
    </w:p>
    <w:p w14:paraId="022004F3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（2）每周检查：项目安全管理人员每周组织全面检查，召开安全例会，通报检查情况。</w:t>
      </w:r>
    </w:p>
    <w:p w14:paraId="05D1BBFB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（3）专项检查：针对重大风险、特殊工序、新设备使用等开展专项安全检查。</w:t>
      </w:r>
    </w:p>
    <w:p w14:paraId="02ED1DF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（4）考核评价：每月对各单位、各岗位安全履职情况进行考核，考核结果与绩效挂钩。</w:t>
      </w:r>
    </w:p>
    <w:p w14:paraId="05A71044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5.3 记录与档案管理</w:t>
      </w:r>
    </w:p>
    <w:p w14:paraId="04091EA7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建立健全安全记录档案，包括风险评估记录、安全检查记录、培训记录、应急演练记录、事故记录等。所有记录应真实、完整、及时，保存期限不少于项目结束后3年。重要电子数据定期备份。</w:t>
      </w:r>
    </w:p>
    <w:p w14:paraId="05A9608A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jc w:val="both"/>
        <w:textAlignment w:val="auto"/>
        <w:outlineLvl w:val="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5.4 持续改进机制</w:t>
      </w:r>
    </w:p>
    <w:p w14:paraId="032BE219">
      <w:pPr>
        <w:pStyle w:val="4"/>
        <w:keepNext w:val="0"/>
        <w:keepLines w:val="0"/>
        <w:pageBreakBefore w:val="0"/>
        <w:widowControl w:val="0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auto"/>
        <w:outlineLvl w:val="9"/>
        <w:rPr>
          <w:sz w:val="24"/>
          <w:szCs w:val="24"/>
        </w:rPr>
      </w:pPr>
      <w:r>
        <w:rPr>
          <w:rFonts w:hint="eastAsia"/>
          <w:sz w:val="24"/>
          <w:szCs w:val="24"/>
        </w:rPr>
        <w:t>建立PDCA（计划-执行-检查-改进）循环机制，定期评审安全防护体系的有效性。鼓励员工提出安全改进建议，对合理化建议给予奖励。发生事故或未遂事件后，认真分析原因，采取纠正预防措施，防止类似事件再次发生。</w:t>
      </w:r>
    </w:p>
    <w:sectPr>
      <w:footerReference r:id="rId3" w:type="default"/>
      <w:pgSz w:w="11906" w:h="16838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1CC4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52820B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52820B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FC21A"/>
    <w:rsid w:val="45FD3E55"/>
    <w:rsid w:val="77FF750A"/>
    <w:rsid w:val="7F6FC21A"/>
    <w:rsid w:val="FFCF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2026-04-10T01:42:00Z</dcterms:created>
  <dc:creator>李李</dc:creator>
  <cp:lastModifiedBy>李李</cp:lastModifiedBy>
  <dcterms:modified xsi:type="dcterms:W3CDTF">2026-04-09T10:41:10Z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A10619F729B53E37CF0BD769B83D1565_43</vt:lpwstr>
  </property>
</Properties>
</file>