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F5ABC">
      <w:pPr>
        <w:spacing w:before="0" w:after="480" w:line="600" w:lineRule="exact"/>
        <w:jc w:val="center"/>
      </w:pPr>
      <w:r>
        <w:rPr>
          <w:rFonts w:ascii="方正小标宋_GBK" w:hAnsi="方正小标宋_GBK" w:eastAsia="方正小标宋_GBK"/>
          <w:sz w:val="44"/>
        </w:rPr>
        <w:t>乌兰察布市泰永新能源有限公司关于运达能源乌兰察布市四子王旗10万千瓦竞配项目选址范围内文物勘探工作验收后的开工请示</w:t>
      </w:r>
    </w:p>
    <w:p w14:paraId="11986044">
      <w:pPr>
        <w:spacing w:before="0" w:after="0" w:line="560" w:lineRule="exact"/>
        <w:jc w:val="both"/>
      </w:pPr>
      <w:r>
        <w:rPr>
          <w:rFonts w:ascii="仿宋_GB2312" w:hAnsi="仿宋_GB2312" w:eastAsia="仿宋_GB2312"/>
          <w:sz w:val="32"/>
        </w:rPr>
        <w:t>四子王旗文化和旅游局：</w:t>
      </w:r>
    </w:p>
    <w:p w14:paraId="203FD9B7">
      <w:pPr>
        <w:spacing w:before="0" w:after="0" w:line="560" w:lineRule="exact"/>
        <w:ind w:firstLine="640"/>
        <w:jc w:val="both"/>
      </w:pPr>
      <w:r>
        <w:rPr>
          <w:rFonts w:ascii="仿宋_GB2312" w:hAnsi="仿宋_GB2312" w:eastAsia="仿宋_GB2312"/>
          <w:sz w:val="32"/>
        </w:rPr>
        <w:t>按照乌兰察布市政府统一部署，乌兰察布市泰永新能源有限公司拟在四子王旗境内建设运达能源乌兰察布市四子王旗10万千瓦竞配项目。项目位于内蒙古乌兰察布市四子王旗吉生太镇，项目面积60482平方米，建设规模100MW，主要建设10台10MW风电机组、1座220kV升压站（汇集站）及集电线路等配套设施。</w:t>
      </w:r>
    </w:p>
    <w:p w14:paraId="5607C1AA">
      <w:pPr>
        <w:spacing w:before="0" w:after="0" w:line="560" w:lineRule="exact"/>
        <w:ind w:firstLine="640"/>
        <w:jc w:val="both"/>
      </w:pPr>
      <w:r>
        <w:rPr>
          <w:rFonts w:ascii="仿宋_GB2312" w:hAnsi="仿宋_GB2312" w:eastAsia="仿宋_GB2312"/>
          <w:sz w:val="32"/>
        </w:rPr>
        <w:t>根据乌兰察布市博物馆（乌兰察布市文物保护中心）文物调查意见，项目检修道路27及升压站区域需开展重点考古勘探，其他占地区域开展必要考古勘探。为落实文物保护要求，我公司已按程序推进考古勘探相关工作。</w:t>
      </w:r>
    </w:p>
    <w:p w14:paraId="4EF0C903">
      <w:pPr>
        <w:spacing w:before="0" w:after="0" w:line="560" w:lineRule="exact"/>
        <w:ind w:firstLine="640"/>
        <w:jc w:val="both"/>
      </w:pPr>
      <w:r>
        <w:rPr>
          <w:rFonts w:ascii="仿宋_GB2312" w:hAnsi="仿宋_GB2312" w:eastAsia="仿宋_GB2312"/>
          <w:sz w:val="32"/>
        </w:rPr>
        <w:t>按照各级文物管理要求及《内蒙古自治区文物局关于做好基本建设用地考古工作的通知》（内文物发〔2025〕6号）文件要求，我公司已委托内蒙古峰驰考古勘探有限公司完成该项目考古调查、勘探工作，编制形成《运达能源乌兰察布市四子王旗10万千瓦竞配项目考古调查、勘探工作报告》并已通过专家验收。</w:t>
      </w:r>
      <w:bookmarkStart w:id="0" w:name="_GoBack"/>
      <w:bookmarkEnd w:id="0"/>
      <w:r>
        <w:rPr>
          <w:rFonts w:ascii="仿宋_GB2312" w:hAnsi="仿宋_GB2312" w:eastAsia="仿宋_GB2312"/>
          <w:sz w:val="32"/>
        </w:rPr>
        <w:t>现申请对该阶段文物勘探工作核验完成后开工建设。</w:t>
      </w:r>
    </w:p>
    <w:p w14:paraId="3FD255FA">
      <w:pPr>
        <w:spacing w:before="0" w:after="0" w:line="560" w:lineRule="exact"/>
        <w:ind w:firstLine="640"/>
        <w:jc w:val="both"/>
      </w:pPr>
      <w:r>
        <w:rPr>
          <w:rFonts w:ascii="仿宋_GB2312" w:hAnsi="仿宋_GB2312" w:eastAsia="仿宋_GB2312"/>
          <w:sz w:val="32"/>
        </w:rPr>
        <w:t>妥否，请批示。</w:t>
      </w:r>
    </w:p>
    <w:p w14:paraId="2C0CBF66"/>
    <w:p w14:paraId="23ADD1F7">
      <w:pPr>
        <w:tabs>
          <w:tab w:val="left" w:pos="2240"/>
        </w:tabs>
        <w:spacing w:before="0" w:after="0" w:line="560" w:lineRule="exact"/>
        <w:ind w:left="2240" w:hanging="1600"/>
        <w:rPr>
          <w:rFonts w:hint="eastAsia" w:eastAsia="仿宋_GB2312"/>
          <w:lang w:eastAsia="zh-CN"/>
        </w:rPr>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关于运达能源乌兰察布市四子王旗10万千瓦竞配项目文物核查的意见</w:t>
      </w:r>
      <w:r>
        <w:rPr>
          <w:rFonts w:hint="eastAsia"/>
          <w:sz w:val="32"/>
          <w:lang w:eastAsia="zh-CN"/>
        </w:rPr>
        <w:t>（</w:t>
      </w:r>
      <w:r>
        <w:rPr>
          <w:rFonts w:ascii="仿宋_GB2312" w:hAnsi="仿宋_GB2312" w:eastAsia="仿宋_GB2312"/>
          <w:sz w:val="32"/>
        </w:rPr>
        <w:t>乌文旅体字〔2026〕63号</w:t>
      </w:r>
      <w:r>
        <w:rPr>
          <w:rFonts w:hint="eastAsia"/>
          <w:sz w:val="32"/>
          <w:lang w:eastAsia="zh-CN"/>
        </w:rPr>
        <w:t>）</w:t>
      </w:r>
    </w:p>
    <w:p w14:paraId="0445A405">
      <w:pPr>
        <w:tabs>
          <w:tab w:val="left" w:pos="2240"/>
        </w:tabs>
        <w:spacing w:before="0" w:after="0" w:line="560" w:lineRule="exact"/>
        <w:ind w:left="2240" w:hanging="640"/>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企业法人营业执照</w:t>
      </w:r>
    </w:p>
    <w:p w14:paraId="5F8AAFEB">
      <w:pPr>
        <w:tabs>
          <w:tab w:val="left" w:pos="2240"/>
        </w:tabs>
        <w:spacing w:before="0" w:after="0" w:line="560" w:lineRule="exact"/>
        <w:ind w:left="2240" w:hanging="640"/>
      </w:pPr>
      <w:r>
        <w:rPr>
          <w:rFonts w:ascii="仿宋_GB2312" w:hAnsi="仿宋_GB2312" w:eastAsia="仿宋_GB2312"/>
          <w:sz w:val="32"/>
        </w:rPr>
        <w:t>3.</w:t>
      </w:r>
      <w:r>
        <w:rPr>
          <w:rFonts w:ascii="仿宋_GB2312" w:hAnsi="仿宋_GB2312" w:eastAsia="仿宋_GB2312"/>
          <w:sz w:val="32"/>
        </w:rPr>
        <w:tab/>
      </w:r>
      <w:r>
        <w:rPr>
          <w:rFonts w:ascii="仿宋_GB2312" w:hAnsi="仿宋_GB2312" w:eastAsia="仿宋_GB2312"/>
          <w:sz w:val="32"/>
        </w:rPr>
        <w:t>法定代表人身份证复印件</w:t>
      </w:r>
    </w:p>
    <w:p w14:paraId="5789C12B">
      <w:pPr>
        <w:tabs>
          <w:tab w:val="left" w:pos="2240"/>
        </w:tabs>
        <w:spacing w:before="0" w:after="0" w:line="560" w:lineRule="exact"/>
        <w:ind w:left="2240" w:hanging="640"/>
      </w:pPr>
      <w:r>
        <w:rPr>
          <w:rFonts w:ascii="仿宋_GB2312" w:hAnsi="仿宋_GB2312" w:eastAsia="仿宋_GB2312"/>
          <w:sz w:val="32"/>
        </w:rPr>
        <w:t>4.</w:t>
      </w:r>
      <w:r>
        <w:rPr>
          <w:rFonts w:ascii="仿宋_GB2312" w:hAnsi="仿宋_GB2312" w:eastAsia="仿宋_GB2312"/>
          <w:sz w:val="32"/>
        </w:rPr>
        <w:tab/>
      </w:r>
      <w:r>
        <w:rPr>
          <w:rFonts w:ascii="仿宋_GB2312" w:hAnsi="仿宋_GB2312" w:eastAsia="仿宋_GB2312"/>
          <w:sz w:val="32"/>
        </w:rPr>
        <w:t>运达能源乌兰察布市四子王旗10万千瓦竞配项目用地范围文件</w:t>
      </w:r>
    </w:p>
    <w:p w14:paraId="2BA244C2">
      <w:pPr>
        <w:tabs>
          <w:tab w:val="left" w:pos="2240"/>
        </w:tabs>
        <w:spacing w:before="0" w:after="0" w:line="560" w:lineRule="exact"/>
        <w:ind w:left="2240" w:hanging="640"/>
      </w:pPr>
      <w:r>
        <w:rPr>
          <w:rFonts w:ascii="仿宋_GB2312" w:hAnsi="仿宋_GB2312" w:eastAsia="仿宋_GB2312"/>
          <w:sz w:val="32"/>
        </w:rPr>
        <w:t>5.</w:t>
      </w:r>
      <w:r>
        <w:rPr>
          <w:rFonts w:ascii="仿宋_GB2312" w:hAnsi="仿宋_GB2312" w:eastAsia="仿宋_GB2312"/>
          <w:sz w:val="32"/>
        </w:rPr>
        <w:tab/>
      </w:r>
      <w:r>
        <w:rPr>
          <w:rFonts w:ascii="仿宋_GB2312" w:hAnsi="仿宋_GB2312" w:eastAsia="仿宋_GB2312"/>
          <w:sz w:val="32"/>
        </w:rPr>
        <w:t>运达能源乌兰察布市四子王旗10万千瓦竞配项目用地经纬度坐标Excel表</w:t>
      </w:r>
    </w:p>
    <w:p w14:paraId="13FC1E69">
      <w:pPr>
        <w:tabs>
          <w:tab w:val="left" w:pos="2240"/>
        </w:tabs>
        <w:spacing w:before="0" w:after="0" w:line="560" w:lineRule="exact"/>
        <w:ind w:left="2240" w:hanging="640"/>
      </w:pPr>
      <w:r>
        <w:rPr>
          <w:rFonts w:ascii="仿宋_GB2312" w:hAnsi="仿宋_GB2312" w:eastAsia="仿宋_GB2312"/>
          <w:sz w:val="32"/>
        </w:rPr>
        <w:t>6.</w:t>
      </w:r>
      <w:r>
        <w:rPr>
          <w:rFonts w:ascii="仿宋_GB2312" w:hAnsi="仿宋_GB2312" w:eastAsia="仿宋_GB2312"/>
          <w:sz w:val="32"/>
        </w:rPr>
        <w:tab/>
      </w:r>
      <w:r>
        <w:rPr>
          <w:rFonts w:ascii="仿宋_GB2312" w:hAnsi="仿宋_GB2312" w:eastAsia="仿宋_GB2312"/>
          <w:sz w:val="32"/>
        </w:rPr>
        <w:t>运达能源乌兰察布市四子王旗10万千瓦竞配项目用地范围KML格式坐标文件</w:t>
      </w:r>
    </w:p>
    <w:p w14:paraId="4A9FF4DA">
      <w:pPr>
        <w:tabs>
          <w:tab w:val="left" w:pos="2240"/>
        </w:tabs>
        <w:spacing w:before="0" w:after="0" w:line="560" w:lineRule="exact"/>
        <w:ind w:left="2240" w:hanging="640"/>
      </w:pPr>
      <w:r>
        <w:rPr>
          <w:rFonts w:ascii="仿宋_GB2312" w:hAnsi="仿宋_GB2312" w:eastAsia="仿宋_GB2312"/>
          <w:sz w:val="32"/>
        </w:rPr>
        <w:t>7.</w:t>
      </w:r>
      <w:r>
        <w:rPr>
          <w:rFonts w:ascii="仿宋_GB2312" w:hAnsi="仿宋_GB2312" w:eastAsia="仿宋_GB2312"/>
          <w:sz w:val="32"/>
        </w:rPr>
        <w:tab/>
      </w:r>
      <w:r>
        <w:rPr>
          <w:rFonts w:ascii="仿宋_GB2312" w:hAnsi="仿宋_GB2312" w:eastAsia="仿宋_GB2312"/>
          <w:sz w:val="32"/>
        </w:rPr>
        <w:t>运达能源乌兰察布市四子王旗10万千瓦竞配项目用地宗地图</w:t>
      </w:r>
    </w:p>
    <w:p w14:paraId="310EA5D4">
      <w:pPr>
        <w:tabs>
          <w:tab w:val="left" w:pos="2240"/>
        </w:tabs>
        <w:spacing w:before="0" w:after="0" w:line="560" w:lineRule="exact"/>
        <w:ind w:left="2240" w:hanging="640"/>
      </w:pPr>
      <w:r>
        <w:rPr>
          <w:rFonts w:ascii="仿宋_GB2312" w:hAnsi="仿宋_GB2312" w:eastAsia="仿宋_GB2312"/>
          <w:sz w:val="32"/>
        </w:rPr>
        <w:t>8.</w:t>
      </w:r>
      <w:r>
        <w:rPr>
          <w:rFonts w:ascii="仿宋_GB2312" w:hAnsi="仿宋_GB2312" w:eastAsia="仿宋_GB2312"/>
          <w:sz w:val="32"/>
        </w:rPr>
        <w:tab/>
      </w:r>
      <w:r>
        <w:rPr>
          <w:rFonts w:ascii="仿宋_GB2312" w:hAnsi="仿宋_GB2312" w:eastAsia="仿宋_GB2312"/>
          <w:sz w:val="32"/>
        </w:rPr>
        <w:t>运达能源乌兰察布市四子王旗10万千瓦竞配项目考古调查、勘探工作报告</w:t>
      </w:r>
    </w:p>
    <w:p w14:paraId="6A049E13">
      <w:pPr>
        <w:tabs>
          <w:tab w:val="left" w:pos="2240"/>
        </w:tabs>
        <w:spacing w:before="0" w:after="0" w:line="560" w:lineRule="exact"/>
        <w:ind w:left="2240" w:hanging="640"/>
      </w:pPr>
      <w:r>
        <w:rPr>
          <w:rFonts w:ascii="仿宋_GB2312" w:hAnsi="仿宋_GB2312" w:eastAsia="仿宋_GB2312"/>
          <w:sz w:val="32"/>
        </w:rPr>
        <w:t>9.</w:t>
      </w:r>
      <w:r>
        <w:rPr>
          <w:rFonts w:ascii="仿宋_GB2312" w:hAnsi="仿宋_GB2312" w:eastAsia="仿宋_GB2312"/>
          <w:sz w:val="32"/>
        </w:rPr>
        <w:tab/>
      </w:r>
      <w:r>
        <w:rPr>
          <w:rFonts w:ascii="仿宋_GB2312" w:hAnsi="仿宋_GB2312" w:eastAsia="仿宋_GB2312"/>
          <w:sz w:val="32"/>
        </w:rPr>
        <w:t>运达能源乌兰察布市四子王旗10万千瓦竞配项目考古勘探项目检查意见书</w:t>
      </w:r>
    </w:p>
    <w:p w14:paraId="4358112D"/>
    <w:p w14:paraId="2F67FF22">
      <w:pPr>
        <w:tabs>
          <w:tab w:val="center" w:pos="6556"/>
        </w:tabs>
        <w:spacing w:after="0" w:line="560" w:lineRule="exact"/>
        <w:ind w:left="0" w:right="0"/>
        <w:jc w:val="left"/>
      </w:pPr>
      <w:r>
        <w:rPr>
          <w:rFonts w:ascii="仿宋_GB2312" w:hAnsi="仿宋_GB2312" w:eastAsia="仿宋_GB2312"/>
          <w:sz w:val="32"/>
        </w:rPr>
        <w:tab/>
      </w:r>
      <w:r>
        <w:rPr>
          <w:rFonts w:ascii="仿宋_GB2312" w:hAnsi="仿宋_GB2312" w:eastAsia="仿宋_GB2312"/>
          <w:sz w:val="32"/>
        </w:rPr>
        <w:t>乌兰察布市泰永新能源有限公司</w:t>
      </w:r>
    </w:p>
    <w:p w14:paraId="615EDD45">
      <w:pPr>
        <w:spacing w:after="0" w:line="560" w:lineRule="exact"/>
        <w:ind w:right="1280"/>
        <w:jc w:val="right"/>
      </w:pPr>
      <w:r>
        <w:rPr>
          <w:rFonts w:ascii="仿宋_GB2312" w:hAnsi="仿宋_GB2312" w:eastAsia="仿宋_GB2312"/>
          <w:sz w:val="32"/>
        </w:rPr>
        <w:t>2026年6月8日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苹方-简">
    <w:panose1 w:val="020B0300000000000000"/>
    <w:charset w:val="86"/>
    <w:family w:val="auto"/>
    <w:pitch w:val="default"/>
    <w:sig w:usb0="A00002FF" w:usb1="7ACFFCFB" w:usb2="00000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59F1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 'm okay ❀</cp:lastModifiedBy>
  <dcterms:modified xsi:type="dcterms:W3CDTF">2026-06-08T18:09:12Z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BD41DF1E15C0A130C894266AC2102970_42</vt:lpwstr>
  </property>
</Properties>
</file>