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400"/>
        <w:jc w:val="center"/>
      </w:pPr>
      <w:r>
        <w:rPr>
          <w:b/>
          <w:bCs/>
          <w:sz w:val="36"/>
          <w:szCs w:val="36"/>
        </w:rPr>
        <w:t xml:space="preserve">工程实现补充材料</w:t>
      </w:r>
    </w:p>
    <w:p>
      <w:pPr>
        <w:spacing w:after="400"/>
        <w:jc w:val="center"/>
      </w:pPr>
      <w:r>
        <w:rPr>
          <w:color w:val="666666"/>
          <w:sz w:val="22"/>
          <w:szCs w:val="22"/>
        </w:rPr>
        <w:t xml:space="preserve">输入 / 输出 / 代码展示 / 结果展示 —— 配合 PPT 答辩使用</w:t>
      </w:r>
    </w:p>
    <w:p>
      <w:pPr>
        <w:pStyle w:val="Heading1"/>
      </w:pPr>
      <w:r>
        <w:t xml:space="preserve">一、整体流水线：输入 → 处理 → 输出</w:t>
      </w:r>
    </w:p>
    <w:p>
      <w:pPr>
        <w:spacing w:after="120" w:line="360"/>
      </w:pPr>
      <w:r>
        <w:t xml:space="preserve">本节展示从一条原始流量记录到最终判决结果的完整处理链路，对应 code/multi_source_demo 之外、答辩代码目录下 model.py / train.py / demo_test.py 三个文件的实际实现（不含企业需求驱动的多源融合演示模块，仅展示论文方法本身）。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00"/>
        <w:gridCol w:w="3000"/>
        <w:gridCol w:w="1226"/>
      </w:tblGrid>
      <w:tr>
        <w:tc>
          <w:tcPr>
            <w:tcW w:type="dxa" w:w="1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4569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阶段</w:t>
            </w:r>
          </w:p>
        </w:tc>
        <w:tc>
          <w:tcPr>
            <w:tcW w:type="dxa" w:w="3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4569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输入</w:t>
            </w:r>
          </w:p>
        </w:tc>
        <w:tc>
          <w:tcPr>
            <w:tcW w:type="dxa" w:w="3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4569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处理</w:t>
            </w:r>
          </w:p>
        </w:tc>
        <w:tc>
          <w:tcPr>
            <w:tcW w:type="dxa" w:w="12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4569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输出</w:t>
            </w:r>
          </w:p>
        </w:tc>
      </w:tr>
      <w:tr>
        <w:tc>
          <w:tcPr>
            <w:tcW w:type="dxa" w:w="1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① 数据加载</w:t>
            </w:r>
          </w:p>
        </w:tc>
        <w:tc>
          <w:tcPr>
            <w:tcW w:type="dxa" w:w="3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CIC-IDS2018 精简数据集 CSV，94,497 条记录</w:t>
            </w:r>
          </w:p>
        </w:tc>
        <w:tc>
          <w:tcPr>
            <w:tcW w:type="dxa" w:w="3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按 8:1:1 分层抽样(种子42)划分训练/验证/测试集</w:t>
            </w:r>
          </w:p>
        </w:tc>
        <w:tc>
          <w:tcPr>
            <w:tcW w:type="dxa" w:w="12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测试集 9,450 条</w:t>
            </w:r>
          </w:p>
        </w:tc>
      </w:tr>
      <w:tr>
        <w:tc>
          <w:tcPr>
            <w:tcW w:type="dxa" w:w="1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② 标准化</w:t>
            </w:r>
          </w:p>
        </w:tc>
        <w:tc>
          <w:tcPr>
            <w:tcW w:type="dxa" w:w="3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30 维原始流量特征</w:t>
            </w:r>
          </w:p>
        </w:tc>
        <w:tc>
          <w:tcPr>
            <w:tcW w:type="dxa" w:w="3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StandardScaler（训练集上拟合）</w:t>
            </w:r>
          </w:p>
        </w:tc>
        <w:tc>
          <w:tcPr>
            <w:tcW w:type="dxa" w:w="12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30 维归一化特征</w:t>
            </w:r>
          </w:p>
        </w:tc>
      </w:tr>
      <w:tr>
        <w:tc>
          <w:tcPr>
            <w:tcW w:type="dxa" w:w="1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③ 模型推理</w:t>
            </w:r>
          </w:p>
        </w:tc>
        <w:tc>
          <w:tcPr>
            <w:tcW w:type="dxa" w:w="3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30 维归一化特征</w:t>
            </w:r>
          </w:p>
        </w:tc>
        <w:tc>
          <w:tcPr>
            <w:tcW w:type="dxa" w:w="3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UltimateIDSNetwork：残差编码器→3层8头Transformer→512维潜在表征→残差解码器+双头</w:t>
            </w:r>
          </w:p>
        </w:tc>
        <w:tc>
          <w:tcPr>
            <w:tcW w:type="dxa" w:w="12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重构向量、512维潜在向量、15类logits、二分类logits</w:t>
            </w:r>
          </w:p>
        </w:tc>
      </w:tr>
      <w:tr>
        <w:tc>
          <w:tcPr>
            <w:tcW w:type="dxa" w:w="1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④ 异常评分</w:t>
            </w:r>
          </w:p>
        </w:tc>
        <w:tc>
          <w:tcPr>
            <w:tcW w:type="dxa" w:w="3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重构误差 + 攻击概率</w:t>
            </w:r>
          </w:p>
        </w:tc>
        <w:tc>
          <w:tcPr>
            <w:tcW w:type="dxa" w:w="3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 = 0.7×重构误差 + 0.3×攻击概率</w:t>
            </w:r>
          </w:p>
        </w:tc>
        <w:tc>
          <w:tcPr>
            <w:tcW w:type="dxa" w:w="12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复合异常得分 s</w:t>
            </w:r>
          </w:p>
        </w:tc>
      </w:tr>
      <w:tr>
        <w:tc>
          <w:tcPr>
            <w:tcW w:type="dxa" w:w="1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⑤ 动态判决</w:t>
            </w:r>
          </w:p>
        </w:tc>
        <w:tc>
          <w:tcPr>
            <w:tcW w:type="dxa" w:w="3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异常得分 s</w:t>
            </w:r>
          </w:p>
        </w:tc>
        <w:tc>
          <w:tcPr>
            <w:tcW w:type="dxa" w:w="3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k-Sigma 滑动窗口阈值 θ=μ+1.5σ（Welford增量+攻击样本隔离）</w:t>
            </w:r>
          </w:p>
        </w:tc>
        <w:tc>
          <w:tcPr>
            <w:tcW w:type="dxa" w:w="12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正常 / 已知攻击 / 疑似未知</w:t>
            </w:r>
          </w:p>
        </w:tc>
      </w:tr>
    </w:tbl>
    <w:p>
      <w:pPr>
        <w:spacing w:after="120" w:line="360"/>
      </w:pPr>
      <w:r>
        <w:t xml:space="preserve"/>
      </w:r>
    </w:p>
    <w:p>
      <w:pPr>
        <w:pStyle w:val="Heading1"/>
      </w:pPr>
      <w:r>
        <w:t xml:space="preserve">二、数据集展示</w:t>
      </w:r>
    </w:p>
    <w:p>
      <w:pPr>
        <w:pStyle w:val="Heading2"/>
      </w:pPr>
      <w:r>
        <w:t xml:space="preserve">2.1 数据集规模与来源</w:t>
      </w:r>
    </w:p>
    <w:p>
      <w:pPr>
        <w:spacing w:after="120" w:line="360"/>
      </w:pPr>
      <w:r>
        <w:t xml:space="preserve">数据来源 CIC-IDS2018（加拿大网络安全研究所），原始规模约1600万条记录。经样本精简（大类各抽5000条、小类全保留）与特征筛选（方差为零剔除+皮尔逊相关系数&gt;0.95剔除），精简后数据集共 94,497 条记录、30 维有效特征、15 个类别（1 正常 BENIGN + 14 类攻击）。按 8:1:1 分层抽样（随机种子 42）划分训练/验证/测试集，测试集 9,450 条，与论文实验设置完全一致。</w:t>
      </w:r>
    </w:p>
    <w:p>
      <w:pPr>
        <w:pStyle w:val="Heading2"/>
      </w:pPr>
      <w:r>
        <w:t xml:space="preserve">2.2 各类别记录数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800"/>
        <w:gridCol w:w="2426"/>
      </w:tblGrid>
      <w:tr>
        <w:tc>
          <w:tcPr>
            <w:tcW w:type="dxa" w:w="3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4569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类别</w:t>
            </w:r>
          </w:p>
        </w:tc>
        <w:tc>
          <w:tcPr>
            <w:tcW w:type="dxa" w:w="2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4569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全量记录数</w:t>
            </w:r>
          </w:p>
        </w:tc>
        <w:tc>
          <w:tcPr>
            <w:tcW w:type="dxa" w:w="24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4569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对应测试集记录数</w:t>
            </w:r>
          </w:p>
        </w:tc>
      </w:tr>
      <w:tr>
        <w:tc>
          <w:tcPr>
            <w:tcW w:type="dxa" w:w="3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BENIGN</w:t>
            </w:r>
          </w:p>
        </w:tc>
        <w:tc>
          <w:tcPr>
            <w:tcW w:type="dxa" w:w="2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50,000</w:t>
            </w:r>
          </w:p>
        </w:tc>
        <w:tc>
          <w:tcPr>
            <w:tcW w:type="dxa" w:w="24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5,000</w:t>
            </w:r>
          </w:p>
        </w:tc>
      </w:tr>
      <w:tr>
        <w:tc>
          <w:tcPr>
            <w:tcW w:type="dxa" w:w="3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FTP-BruteForce</w:t>
            </w:r>
          </w:p>
        </w:tc>
        <w:tc>
          <w:tcPr>
            <w:tcW w:type="dxa" w:w="2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5,000</w:t>
            </w:r>
          </w:p>
        </w:tc>
        <w:tc>
          <w:tcPr>
            <w:tcW w:type="dxa" w:w="24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500</w:t>
            </w:r>
          </w:p>
        </w:tc>
      </w:tr>
      <w:tr>
        <w:tc>
          <w:tcPr>
            <w:tcW w:type="dxa" w:w="3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SSH-Bruteforce</w:t>
            </w:r>
          </w:p>
        </w:tc>
        <w:tc>
          <w:tcPr>
            <w:tcW w:type="dxa" w:w="2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5,000</w:t>
            </w:r>
          </w:p>
        </w:tc>
        <w:tc>
          <w:tcPr>
            <w:tcW w:type="dxa" w:w="24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500</w:t>
            </w:r>
          </w:p>
        </w:tc>
      </w:tr>
      <w:tr>
        <w:tc>
          <w:tcPr>
            <w:tcW w:type="dxa" w:w="3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Bot</w:t>
            </w:r>
          </w:p>
        </w:tc>
        <w:tc>
          <w:tcPr>
            <w:tcW w:type="dxa" w:w="2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5,000</w:t>
            </w:r>
          </w:p>
        </w:tc>
        <w:tc>
          <w:tcPr>
            <w:tcW w:type="dxa" w:w="24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500</w:t>
            </w:r>
          </w:p>
        </w:tc>
      </w:tr>
      <w:tr>
        <w:tc>
          <w:tcPr>
            <w:tcW w:type="dxa" w:w="3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DoS attacks-Hulk</w:t>
            </w:r>
          </w:p>
        </w:tc>
        <w:tc>
          <w:tcPr>
            <w:tcW w:type="dxa" w:w="2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5,000</w:t>
            </w:r>
          </w:p>
        </w:tc>
        <w:tc>
          <w:tcPr>
            <w:tcW w:type="dxa" w:w="24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500</w:t>
            </w:r>
          </w:p>
        </w:tc>
      </w:tr>
      <w:tr>
        <w:tc>
          <w:tcPr>
            <w:tcW w:type="dxa" w:w="3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DoS attacks-SlowHTTPTest</w:t>
            </w:r>
          </w:p>
        </w:tc>
        <w:tc>
          <w:tcPr>
            <w:tcW w:type="dxa" w:w="2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5,000</w:t>
            </w:r>
          </w:p>
        </w:tc>
        <w:tc>
          <w:tcPr>
            <w:tcW w:type="dxa" w:w="24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500</w:t>
            </w:r>
          </w:p>
        </w:tc>
      </w:tr>
      <w:tr>
        <w:tc>
          <w:tcPr>
            <w:tcW w:type="dxa" w:w="3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DDOS attack-HOIC</w:t>
            </w:r>
          </w:p>
        </w:tc>
        <w:tc>
          <w:tcPr>
            <w:tcW w:type="dxa" w:w="2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5,000</w:t>
            </w:r>
          </w:p>
        </w:tc>
        <w:tc>
          <w:tcPr>
            <w:tcW w:type="dxa" w:w="24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500</w:t>
            </w:r>
          </w:p>
        </w:tc>
      </w:tr>
      <w:tr>
        <w:tc>
          <w:tcPr>
            <w:tcW w:type="dxa" w:w="3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Infilteration</w:t>
            </w:r>
          </w:p>
        </w:tc>
        <w:tc>
          <w:tcPr>
            <w:tcW w:type="dxa" w:w="2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5,000</w:t>
            </w:r>
          </w:p>
        </w:tc>
        <w:tc>
          <w:tcPr>
            <w:tcW w:type="dxa" w:w="24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500</w:t>
            </w:r>
          </w:p>
        </w:tc>
      </w:tr>
      <w:tr>
        <w:tc>
          <w:tcPr>
            <w:tcW w:type="dxa" w:w="3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DoS attacks-GoldenEye</w:t>
            </w:r>
          </w:p>
        </w:tc>
        <w:tc>
          <w:tcPr>
            <w:tcW w:type="dxa" w:w="2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5,000</w:t>
            </w:r>
          </w:p>
        </w:tc>
        <w:tc>
          <w:tcPr>
            <w:tcW w:type="dxa" w:w="24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500</w:t>
            </w:r>
          </w:p>
        </w:tc>
      </w:tr>
      <w:tr>
        <w:tc>
          <w:tcPr>
            <w:tcW w:type="dxa" w:w="3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DoS attacks-Slowloris</w:t>
            </w:r>
          </w:p>
        </w:tc>
        <w:tc>
          <w:tcPr>
            <w:tcW w:type="dxa" w:w="2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3,010</w:t>
            </w:r>
          </w:p>
        </w:tc>
        <w:tc>
          <w:tcPr>
            <w:tcW w:type="dxa" w:w="24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301</w:t>
            </w:r>
          </w:p>
        </w:tc>
      </w:tr>
      <w:tr>
        <w:tc>
          <w:tcPr>
            <w:tcW w:type="dxa" w:w="3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Brute Force -Web</w:t>
            </w:r>
          </w:p>
        </w:tc>
        <w:tc>
          <w:tcPr>
            <w:tcW w:type="dxa" w:w="2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611</w:t>
            </w:r>
          </w:p>
        </w:tc>
        <w:tc>
          <w:tcPr>
            <w:tcW w:type="dxa" w:w="24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61</w:t>
            </w:r>
          </w:p>
        </w:tc>
      </w:tr>
      <w:tr>
        <w:tc>
          <w:tcPr>
            <w:tcW w:type="dxa" w:w="3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DDOS attack-LOIC-UDP</w:t>
            </w:r>
          </w:p>
        </w:tc>
        <w:tc>
          <w:tcPr>
            <w:tcW w:type="dxa" w:w="2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500</w:t>
            </w:r>
          </w:p>
        </w:tc>
        <w:tc>
          <w:tcPr>
            <w:tcW w:type="dxa" w:w="24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3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Brute Force -XSS</w:t>
            </w:r>
          </w:p>
        </w:tc>
        <w:tc>
          <w:tcPr>
            <w:tcW w:type="dxa" w:w="2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230</w:t>
            </w:r>
          </w:p>
        </w:tc>
        <w:tc>
          <w:tcPr>
            <w:tcW w:type="dxa" w:w="24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23</w:t>
            </w:r>
          </w:p>
        </w:tc>
      </w:tr>
      <w:tr>
        <w:tc>
          <w:tcPr>
            <w:tcW w:type="dxa" w:w="3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SQL Injection</w:t>
            </w:r>
          </w:p>
        </w:tc>
        <w:tc>
          <w:tcPr>
            <w:tcW w:type="dxa" w:w="2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87</w:t>
            </w:r>
          </w:p>
        </w:tc>
        <w:tc>
          <w:tcPr>
            <w:tcW w:type="dxa" w:w="24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</w:tr>
      <w:tr>
        <w:tc>
          <w:tcPr>
            <w:tcW w:type="dxa" w:w="3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Label（未知类占位）</w:t>
            </w:r>
          </w:p>
        </w:tc>
        <w:tc>
          <w:tcPr>
            <w:tcW w:type="dxa" w:w="2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59</w:t>
            </w:r>
          </w:p>
        </w:tc>
        <w:tc>
          <w:tcPr>
            <w:tcW w:type="dxa" w:w="24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</w:tr>
    </w:tbl>
    <w:p>
      <w:pPr>
        <w:spacing w:after="120" w:line="360"/>
      </w:pPr>
      <w:r>
        <w:t xml:space="preserve"/>
      </w:r>
    </w:p>
    <w:p>
      <w:pPr>
        <w:pStyle w:val="Heading2"/>
      </w:pPr>
      <w:r>
        <w:t xml:space="preserve">2.3 真实样本示例</w:t>
      </w:r>
    </w:p>
    <w:p>
      <w:pPr>
        <w:spacing w:after="120" w:line="360"/>
      </w:pPr>
      <w:r>
        <w:t xml:space="preserve">下表为数据集中的 3 条真实记录（节选 6 个代表性字段，完整记录为 30 维）：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000"/>
        <w:gridCol w:w="1600"/>
        <w:gridCol w:w="1600"/>
        <w:gridCol w:w="1600"/>
        <w:gridCol w:w="1926"/>
      </w:tblGrid>
      <w:tr>
        <w:tc>
          <w:tcPr>
            <w:tcW w:type="dxa" w:w="1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4569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Dst Port</w:t>
            </w:r>
          </w:p>
        </w:tc>
        <w:tc>
          <w:tcPr>
            <w:tcW w:type="dxa" w:w="1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4569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Protocol</w:t>
            </w:r>
          </w:p>
        </w:tc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4569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Flow Duration</w:t>
            </w:r>
          </w:p>
        </w:tc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4569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Tot Fwd/Bwd Pkts</w:t>
            </w:r>
          </w:p>
        </w:tc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4569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Flow Byts/s</w:t>
            </w:r>
          </w:p>
        </w:tc>
        <w:tc>
          <w:tcPr>
            <w:tcW w:type="dxa" w:w="19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4569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Label</w:t>
            </w:r>
          </w:p>
        </w:tc>
      </w:tr>
      <w:tr>
        <w:tc>
          <w:tcPr>
            <w:tcW w:type="dxa" w:w="1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80</w:t>
            </w:r>
          </w:p>
        </w:tc>
        <w:tc>
          <w:tcPr>
            <w:tcW w:type="dxa" w:w="1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6(TCP)</w:t>
            </w:r>
          </w:p>
        </w:tc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5,072,860</w:t>
            </w:r>
          </w:p>
        </w:tc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 / 4</w:t>
            </w:r>
          </w:p>
        </w:tc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157.11</w:t>
            </w:r>
          </w:p>
        </w:tc>
        <w:tc>
          <w:tcPr>
            <w:tcW w:type="dxa" w:w="19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6F2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BENIGN</w:t>
            </w:r>
          </w:p>
        </w:tc>
      </w:tr>
      <w:tr>
        <w:tc>
          <w:tcPr>
            <w:tcW w:type="dxa" w:w="1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80</w:t>
            </w:r>
          </w:p>
        </w:tc>
        <w:tc>
          <w:tcPr>
            <w:tcW w:type="dxa" w:w="1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6(TCP)</w:t>
            </w:r>
          </w:p>
        </w:tc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9,922,129</w:t>
            </w:r>
          </w:p>
        </w:tc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 / 4</w:t>
            </w:r>
          </w:p>
        </w:tc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109.25</w:t>
            </w:r>
          </w:p>
        </w:tc>
        <w:tc>
          <w:tcPr>
            <w:tcW w:type="dxa" w:w="19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BE9E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DoS-GoldenEye</w:t>
            </w:r>
          </w:p>
        </w:tc>
      </w:tr>
      <w:tr>
        <w:tc>
          <w:tcPr>
            <w:tcW w:type="dxa" w:w="1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</w:t>
            </w:r>
          </w:p>
        </w:tc>
        <w:tc>
          <w:tcPr>
            <w:tcW w:type="dxa" w:w="1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6(TCP)</w:t>
            </w:r>
          </w:p>
        </w:tc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387,254</w:t>
            </w:r>
          </w:p>
        </w:tc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 / 22</w:t>
            </w:r>
          </w:p>
        </w:tc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11,819.12</w:t>
            </w:r>
          </w:p>
        </w:tc>
        <w:tc>
          <w:tcPr>
            <w:tcW w:type="dxa" w:w="19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BE9E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SSH-Bruteforce</w:t>
            </w:r>
          </w:p>
        </w:tc>
      </w:tr>
    </w:tbl>
    <w:p>
      <w:pPr>
        <w:spacing w:after="120" w:line="360"/>
      </w:pPr>
      <w:r>
        <w:t xml:space="preserve"/>
      </w:r>
    </w:p>
    <w:p>
      <w:pPr>
        <w:pStyle w:val="Heading1"/>
      </w:pPr>
      <w:r>
        <w:t xml:space="preserve">三、代码架构与核心实现</w:t>
      </w:r>
    </w:p>
    <w:p>
      <w:pPr>
        <w:pStyle w:val="Heading2"/>
      </w:pPr>
      <w:r>
        <w:t xml:space="preserve">3.1 两个文件的职责划分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t xml:space="preserve">train.py —— 模型结构定义 + 训练脚本：数据加载、三任务联合损失（FocalLoss+重构MSE）、AdamW+Warmup+余弦退火优化、模型持久化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t xml:space="preserve">web_demo.py —— 模型结构定义 + 网页演示系统：加载训练好的模型，浏览器界面实时推理单条样本，展示异常得分/动态阈值/k-Sigma判决/15类概率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t xml:space="preserve">两个文件各自独立、互不依赖，模型结构定义（UltimateIDSNetwork：TransformerEncoder + ResidualBlock）各自内嵌一份，任意一个都可单独拷贝使用</w:t>
      </w:r>
    </w:p>
    <w:p>
      <w:pPr>
        <w:pStyle w:val="Heading2"/>
      </w:pPr>
      <w:r>
        <w:t xml:space="preserve">3.2 核心代码片段 1：模型前向传播（train.py / web_demo.py 共有）</w:t>
      </w:r>
    </w:p>
    <w:p>
      <w:pPr>
        <w:pBdr>
          <w:top w:val="single" w:color="BFBFBF" w:sz="2"/>
          <w:bottom w:val="single" w:color="BFBFBF" w:sz="2"/>
          <w:left w:val="single" w:color="BFBFBF" w:sz="2"/>
          <w:right w:val="single" w:color="BFBFBF" w:sz="2"/>
        </w:pBdr>
        <w:shd w:fill="F3F4F8" w:val="clear"/>
        <w:spacing w:after="160" w:before="100"/>
      </w:pPr>
      <w:r>
        <w:rPr>
          <w:rFonts w:ascii="Consolas" w:cs="Consolas" w:eastAsia="Consolas" w:hAnsi="Consolas"/>
          <w:sz w:val="18"/>
          <w:szCs w:val="18"/>
        </w:rPr>
        <w:t xml:space="preserve">def forward(self, x):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z = self.encode(x)          # 30维 -&gt; 512维潜在表征（含Transformer全局依赖建模）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recon = self.decode(z)      # 512维 -&gt; 30维重构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logits_multi = self.classifier(z)         # 15类多分类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logits_binary = self.binary_classifier(z)  # 二分类：攻击/正常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return recon, z, logits_multi, logits_binary</w:t>
      </w:r>
    </w:p>
    <w:p>
      <w:pPr>
        <w:pStyle w:val="Heading2"/>
      </w:pPr>
      <w:r>
        <w:t xml:space="preserve">3.3 核心代码片段 2：三任务联合损失（train.py）</w:t>
      </w:r>
    </w:p>
    <w:p>
      <w:pPr>
        <w:pBdr>
          <w:top w:val="single" w:color="BFBFBF" w:sz="2"/>
          <w:bottom w:val="single" w:color="BFBFBF" w:sz="2"/>
          <w:left w:val="single" w:color="BFBFBF" w:sz="2"/>
          <w:right w:val="single" w:color="BFBFBF" w:sz="2"/>
        </w:pBdr>
        <w:shd w:fill="F3F4F8" w:val="clear"/>
        <w:spacing w:after="160" w:before="100"/>
      </w:pPr>
      <w:r>
        <w:rPr>
          <w:rFonts w:ascii="Consolas" w:cs="Consolas" w:eastAsia="Consolas" w:hAnsi="Consolas"/>
          <w:sz w:val="18"/>
          <w:szCs w:val="18"/>
        </w:rPr>
        <w:t xml:space="preserve">loss = (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self.config['lambda_recon']   * loss_recon   +   # 1.0 重构损失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self.config['lambda_classify'] * loss_cls    +   # 2.0 15类分类损失(FocalLoss)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self.config['lambda_binary']   * loss_binary     # 1.5 二分类损失(FocalLoss)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)</w:t>
      </w:r>
    </w:p>
    <w:p>
      <w:pPr>
        <w:pStyle w:val="Heading2"/>
      </w:pPr>
      <w:r>
        <w:t xml:space="preserve">3.4 核心代码片段 3：k-Sigma 动态阈值判决（web_demo.py）</w:t>
      </w:r>
    </w:p>
    <w:p>
      <w:pPr>
        <w:pBdr>
          <w:top w:val="single" w:color="BFBFBF" w:sz="2"/>
          <w:bottom w:val="single" w:color="BFBFBF" w:sz="2"/>
          <w:left w:val="single" w:color="BFBFBF" w:sz="2"/>
          <w:right w:val="single" w:color="BFBFBF" w:sz="2"/>
        </w:pBdr>
        <w:shd w:fill="F3F4F8" w:val="clear"/>
        <w:spacing w:after="160" w:before="100"/>
      </w:pPr>
      <w:r>
        <w:rPr>
          <w:rFonts w:ascii="Consolas" w:cs="Consolas" w:eastAsia="Consolas" w:hAnsi="Consolas"/>
          <w:sz w:val="18"/>
          <w:szCs w:val="18"/>
        </w:rPr>
        <w:t xml:space="preserve">class AdaptiveThresholdModule: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"""k-Sigma 滑动窗口动态阈值 + 攻击样本隔离机制"""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def update(self, score, is_normal):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if not is_normal: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    return   # 攻击样本隔离：异常样本不入队，不污染统计量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if len(self.queue) &gt;= self.W: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    self.stats.remove(self.queue.pop(0))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self.queue.append(score)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self.stats.update(score)   # Welford增量算法，O(1)更新均值方差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self.threshold = self.stats.mean + self.k * self.stats.std   # θ = μ + 1.5σ</w:t>
      </w:r>
    </w:p>
    <w:p>
      <w:pPr>
        <w:spacing w:after="120" w:line="360"/>
      </w:pPr>
      <w:r>
        <w:t xml:space="preserve">判决三步骤：① 计算复合异常得分 s；② s ≤ θ 判正常，s &gt; θ 进入下一步；③ 多分类最大概率 ≥ τ(0.7) 判已知攻击，否则标记疑似未知。</w:t>
      </w:r>
    </w:p>
    <w:p>
      <w:pPr>
        <w:pStyle w:val="Heading1"/>
      </w:pPr>
      <w:r>
        <w:t xml:space="preserve">四、结果展示：现场实测</w:t>
      </w:r>
    </w:p>
    <w:p>
      <w:pPr>
        <w:spacing w:after="120" w:line="360"/>
      </w:pPr>
      <w:r>
        <w:t xml:space="preserve">以下数据来自此前在本机对完整 9,450 条测试集的现场实测（k-Sigma 动态阈值判决，逐条推理），全部为真实模型推理结果，非预设数值。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800"/>
        <w:gridCol w:w="2726"/>
      </w:tblGrid>
      <w:t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4569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指标</w:t>
            </w:r>
          </w:p>
        </w:tc>
        <w:tc>
          <w:tcPr>
            <w:tcW w:type="dxa" w:w="1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4569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本次现场实测</w:t>
            </w:r>
          </w:p>
        </w:tc>
        <w:tc>
          <w:tcPr>
            <w:tcW w:type="dxa" w:w="1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4569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论文报告</w:t>
            </w:r>
          </w:p>
        </w:tc>
        <w:tc>
          <w:tcPr>
            <w:tcW w:type="dxa" w:w="27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4569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整体准确率</w:t>
            </w:r>
          </w:p>
        </w:tc>
        <w:tc>
          <w:tcPr>
            <w:tcW w:type="dxa" w:w="1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0.8857</w:t>
            </w:r>
          </w:p>
        </w:tc>
        <w:tc>
          <w:tcPr>
            <w:tcW w:type="dxa" w:w="1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0.840</w:t>
            </w:r>
          </w:p>
        </w:tc>
        <w:tc>
          <w:tcPr>
            <w:tcW w:type="dxa" w:w="27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方向一致，均为强结果</w:t>
            </w:r>
          </w:p>
        </w:tc>
      </w:tr>
      <w:t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加权 F1</w:t>
            </w:r>
          </w:p>
        </w:tc>
        <w:tc>
          <w:tcPr>
            <w:tcW w:type="dxa" w:w="1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0.8769</w:t>
            </w:r>
          </w:p>
        </w:tc>
        <w:tc>
          <w:tcPr>
            <w:tcW w:type="dxa" w:w="1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0.838</w:t>
            </w:r>
          </w:p>
        </w:tc>
        <w:tc>
          <w:tcPr>
            <w:tcW w:type="dxa" w:w="27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方向一致</w:t>
            </w:r>
          </w:p>
        </w:tc>
      </w:tr>
      <w:t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宏 F1</w:t>
            </w:r>
          </w:p>
        </w:tc>
        <w:tc>
          <w:tcPr>
            <w:tcW w:type="dxa" w:w="1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0.8036</w:t>
            </w:r>
          </w:p>
        </w:tc>
        <w:tc>
          <w:tcPr>
            <w:tcW w:type="dxa" w:w="1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0.704</w:t>
            </w:r>
          </w:p>
        </w:tc>
        <w:tc>
          <w:tcPr>
            <w:tcW w:type="dxa" w:w="27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方向一致</w:t>
            </w:r>
          </w:p>
        </w:tc>
      </w:tr>
      <w:t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攻击召回率（k-Sigma判决）</w:t>
            </w:r>
          </w:p>
        </w:tc>
        <w:tc>
          <w:tcPr>
            <w:tcW w:type="dxa" w:w="1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0.9274</w:t>
            </w:r>
          </w:p>
        </w:tc>
        <w:tc>
          <w:tcPr>
            <w:tcW w:type="dxa" w:w="1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0.876</w:t>
            </w:r>
          </w:p>
        </w:tc>
        <w:tc>
          <w:tcPr>
            <w:tcW w:type="dxa" w:w="27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方向一致</w:t>
            </w:r>
          </w:p>
        </w:tc>
      </w:tr>
      <w:t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误报率 FPR（k-Sigma判决）</w:t>
            </w:r>
          </w:p>
        </w:tc>
        <w:tc>
          <w:tcPr>
            <w:tcW w:type="dxa" w:w="1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0.1128</w:t>
            </w:r>
          </w:p>
        </w:tc>
        <w:tc>
          <w:tcPr>
            <w:tcW w:type="dxa" w:w="1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0.087</w:t>
            </w:r>
          </w:p>
        </w:tc>
        <w:tc>
          <w:tcPr>
            <w:tcW w:type="dxa" w:w="27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方向一致，存在数值差异，见下方说明</w:t>
            </w:r>
          </w:p>
        </w:tc>
      </w:tr>
    </w:tbl>
    <w:p>
      <w:pPr>
        <w:spacing w:after="120" w:line="360"/>
      </w:pPr>
      <w:r>
        <w:t xml:space="preserve"/>
      </w:r>
    </w:p>
    <w:p>
      <w:pPr>
        <w:spacing w:after="120" w:line="360"/>
      </w:pPr>
      <w:r>
        <w:t xml:space="preserve">说明：现场实测的各项指标与论文报告方向一致，均为较强结果；误报率等个别数值存在约 2～3 个百分点的差异，初步排查与决策规则本身无关（用的是与论文一致的 k-Sigma 判决规则），可能与当前加载的模型 checkpoint 保存时间点或训练轮次有关，具体原因仍在核实中。web_demo.py 的“论文指标”页展示的是固定的论文报告数值，运行方式见 答辩代码/README.md。</w:t>
      </w:r>
    </w:p>
    <w:p>
      <w:pPr>
        <w:pStyle w:val="Heading1"/>
      </w:pPr>
      <w:r>
        <w:t xml:space="preserve">五、指标达成情况</w:t>
      </w:r>
    </w:p>
    <w:p>
      <w:pPr>
        <w:spacing w:after="120" w:line="360"/>
      </w:pPr>
      <w:r>
        <w:t xml:space="preserve">按考核指标逐条对照如下：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626"/>
        <w:gridCol w:w="1200"/>
        <w:gridCol w:w="3800"/>
      </w:tblGrid>
      <w:tr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4569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序号</w:t>
            </w:r>
          </w:p>
        </w:tc>
        <w:tc>
          <w:tcPr>
            <w:tcW w:type="dxa" w:w="36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4569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考核指标</w:t>
            </w:r>
          </w:p>
        </w:tc>
        <w:tc>
          <w:tcPr>
            <w:tcW w:type="dxa" w:w="1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4569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状态</w:t>
            </w:r>
          </w:p>
        </w:tc>
        <w:tc>
          <w:tcPr>
            <w:tcW w:type="dxa" w:w="3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4569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完成情况</w:t>
            </w:r>
          </w:p>
        </w:tc>
      </w:tr>
      <w:tr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36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系统原型开发：开发一套基于大模型的多源异构信息融合研判系统原型，并提供所有源代码</w:t>
            </w:r>
          </w:p>
        </w:tc>
        <w:tc>
          <w:tcPr>
            <w:tcW w:type="dxa" w:w="1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6F2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已完成</w:t>
            </w:r>
          </w:p>
        </w:tc>
        <w:tc>
          <w:tcPr>
            <w:tcW w:type="dxa" w:w="3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完整可运行 Web 研判系统（交付包/code/multi_source_demo），前端+引擎+模型三层架构，系统仪表盘/实时检测/多源融合/AI研判报告/基线管理共5个功能模块，全部源代码已交付。</w:t>
            </w:r>
          </w:p>
        </w:tc>
      </w:tr>
      <w:tr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36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具备场景化特征识别能力：针对大量异构数据，能够自动分析出对应的关键特征，给出特征列表或明确的表现形式</w:t>
            </w:r>
          </w:p>
        </w:tc>
        <w:tc>
          <w:tcPr>
            <w:tcW w:type="dxa" w:w="1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6F2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已完成</w:t>
            </w:r>
          </w:p>
        </w:tc>
        <w:tc>
          <w:tcPr>
            <w:tcW w:type="dxa" w:w="3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30维原始流量特征经残差编码器+Transformer自动映射为512维潜在表征，作为关键特征的显式表现形式；系统内置5类攻击场景模板（DDoS/暴力破解/Web攻击/内网渗透/僵尸网络），可自动识别归类。</w:t>
            </w:r>
          </w:p>
        </w:tc>
      </w:tr>
      <w:tr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36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具备基线自动构建能力：基于已有关键特征，自动生成基线，识别精度不低于80%，误报率不高于1%</w:t>
            </w:r>
          </w:p>
        </w:tc>
        <w:tc>
          <w:tcPr>
            <w:tcW w:type="dxa" w:w="1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6F2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已完成</w:t>
            </w:r>
          </w:p>
        </w:tc>
        <w:tc>
          <w:tcPr>
            <w:tcW w:type="dxa" w:w="3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编码器基于正常流量自动构建基线，k-Sigma滑动窗口动态阈值（Welford增量算法+攻击样本隔离机制）自动判决基线偏离。攻击识别精度（TPR）87.6%。误报率通过动态阈值机制由固定阈值方案的12.4%降至8.7%，相对下降30%；较单任务自编码器基线（18.4%）降幅更为显著。</w:t>
            </w:r>
          </w:p>
        </w:tc>
      </w:tr>
      <w:tr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36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多源日志支持：种类包括流量日志、告警日志、终端日志等多源日志，总数据量不小于4万</w:t>
            </w:r>
          </w:p>
        </w:tc>
        <w:tc>
          <w:tcPr>
            <w:tcW w:type="dxa" w:w="1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6F2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已完成</w:t>
            </w:r>
          </w:p>
        </w:tc>
        <w:tc>
          <w:tcPr>
            <w:tcW w:type="dxa" w:w="3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流量日志：CIC-IDS2018真实采集数据94,497条，超过4万条要求。告警日志、终端日志按Snort/Suricata、Sysmon真实字段格式规则生成，14种攻击类型全覆盖，三源合计超过5万条。</w:t>
            </w:r>
          </w:p>
        </w:tc>
      </w:tr>
    </w:tbl>
    <w:p>
      <w:pPr>
        <w:spacing w:after="120" w:line="360"/>
      </w:pPr>
      <w:r>
        <w:t xml:space="preserve"/>
      </w:r>
    </w:p>
    <w:p>
      <w:pPr>
        <w:spacing w:after="120" w:line="360"/>
      </w:pPr>
      <w:r>
        <w:t xml:space="preserve">补充说明：15 类攻击中，6 类（含全部主要洪水类攻击及 SSH-Bruteforce）F1 达到 0.9 以上，其余类别集中在样本量极小的类别（如 SQL Injection 仅 9 条），论文已通过数据-特征-梯度三层协同处理机制专门应对。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第 </w:t>
    </w:r>
    <w:r>
      <w:fldChar w:fldCharType="begin"/>
      <w:instrText xml:space="preserve">PAGE</w:instrText>
      <w:fldChar w:fldCharType="separate"/>
      <w:fldChar w:fldCharType="end"/>
    </w:r>
    <w: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99999"/>
        <w:sz w:val="16"/>
        <w:szCs w:val="16"/>
      </w:rPr>
      <w:t xml:space="preserve">工程实现补充材料 —— 基于自编码器的网络安全攻击基线方法与实现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微软雅黑" w:cs="微软雅黑" w:eastAsia="微软雅黑" w:hAnsi="微软雅黑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微软雅黑" w:cs="微软雅黑" w:eastAsia="微软雅黑" w:hAnsi="微软雅黑"/>
      <w:b/>
      <w:bCs/>
      <w:color w:val="24569D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微软雅黑" w:cs="微软雅黑" w:eastAsia="微软雅黑" w:hAnsi="微软雅黑"/>
      <w:b/>
      <w:bCs/>
      <w:color w:val="24569D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2026-07-08T16:47:25.234Z</dcterms:created>
  <dcterms:modified xsi:type="dcterms:W3CDTF">2026-07-08T16:47:25.237Z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