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2"/>
        </w:rPr>
        <w:t>NIST RBAC 基于角色的访问控制官方资料整理</w:t>
      </w:r>
    </w:p>
    <w:p>
      <w:pPr>
        <w:jc w:val="center"/>
      </w:pPr>
      <w:r>
        <w:rPr>
          <w:rFonts w:ascii="Microsoft YaHei" w:hAnsi="Microsoft YaHei" w:eastAsia="Microsoft YaHei"/>
          <w:b w:val="0"/>
          <w:sz w:val="21"/>
        </w:rPr>
        <w:t>业务制度与权限边界知识库 / 外部来源整理</w:t>
      </w:r>
    </w:p>
    <w:p/>
    <w:p>
      <w:pPr>
        <w:pStyle w:val="Heading1"/>
      </w:pPr>
      <w:r>
        <w:t>一、来源信息</w:t>
      </w:r>
    </w:p>
    <w:tbl>
      <w:tblPr>
        <w:tblStyle w:val="TableGrid"/>
        <w:tblW w:type="auto" w:w="0"/>
        <w:tblLook w:firstColumn="1" w:firstRow="1" w:lastColumn="0" w:lastRow="0" w:noHBand="0" w:noVBand="1" w:val="04A0"/>
      </w:tblPr>
      <w:tblGrid>
        <w:gridCol w:w="4320"/>
        <w:gridCol w:w="4320"/>
      </w:tblGrid>
      <w:tr>
        <w:tc>
          <w:tcPr>
            <w:tcW w:type="dxa" w:w="4320"/>
          </w:tcPr>
          <w:p>
            <w:r>
              <w:t>项目</w:t>
            </w:r>
          </w:p>
        </w:tc>
        <w:tc>
          <w:tcPr>
            <w:tcW w:type="dxa" w:w="4320"/>
          </w:tcPr>
          <w:p>
            <w:r>
              <w:t>内容</w:t>
            </w:r>
          </w:p>
        </w:tc>
      </w:tr>
      <w:tr>
        <w:tc>
          <w:tcPr>
            <w:tcW w:type="dxa" w:w="4320"/>
          </w:tcPr>
          <w:p>
            <w:r>
              <w:t>官方机构</w:t>
            </w:r>
          </w:p>
        </w:tc>
        <w:tc>
          <w:tcPr>
            <w:tcW w:type="dxa" w:w="4320"/>
          </w:tcPr>
          <w:p>
            <w:r>
              <w:t>National Institute of Standards and Technology（NIST，美国国家标准与技术研究院） / Computer Security Resource Center（CSRC）</w:t>
            </w:r>
          </w:p>
        </w:tc>
      </w:tr>
      <w:tr>
        <w:tc>
          <w:tcPr>
            <w:tcW w:type="dxa" w:w="4320"/>
          </w:tcPr>
          <w:p>
            <w:r>
              <w:t>网页名称</w:t>
            </w:r>
          </w:p>
        </w:tc>
        <w:tc>
          <w:tcPr>
            <w:tcW w:type="dxa" w:w="4320"/>
          </w:tcPr>
          <w:p>
            <w:r>
              <w:t>Role Based Access Control（RBAC）</w:t>
            </w:r>
          </w:p>
        </w:tc>
      </w:tr>
      <w:tr>
        <w:tc>
          <w:tcPr>
            <w:tcW w:type="dxa" w:w="4320"/>
          </w:tcPr>
          <w:p>
            <w:r>
              <w:t>官方链接</w:t>
            </w:r>
          </w:p>
        </w:tc>
        <w:tc>
          <w:tcPr>
            <w:tcW w:type="dxa" w:w="4320"/>
          </w:tcPr>
          <w:p>
            <w:r>
              <w:t>https://csrc.nist.gov/projects/role-based-access-control</w:t>
            </w:r>
          </w:p>
        </w:tc>
      </w:tr>
      <w:tr>
        <w:tc>
          <w:tcPr>
            <w:tcW w:type="dxa" w:w="4320"/>
          </w:tcPr>
          <w:p>
            <w:r>
              <w:t>FAQ 链接</w:t>
            </w:r>
          </w:p>
        </w:tc>
        <w:tc>
          <w:tcPr>
            <w:tcW w:type="dxa" w:w="4320"/>
          </w:tcPr>
          <w:p>
            <w:r>
              <w:t>https://csrc.nist.gov/projects/role-based-access-control/faqs</w:t>
            </w:r>
          </w:p>
        </w:tc>
      </w:tr>
      <w:tr>
        <w:tc>
          <w:tcPr>
            <w:tcW w:type="dxa" w:w="4320"/>
          </w:tcPr>
          <w:p>
            <w:r>
              <w:t>资料状态</w:t>
            </w:r>
          </w:p>
        </w:tc>
        <w:tc>
          <w:tcPr>
            <w:tcW w:type="dxa" w:w="4320"/>
          </w:tcPr>
          <w:p>
            <w:r>
              <w:t>NIST 页面标注该项目为 archived project，内容不再作为持续更新项目维护；页面显示 Created November 21, 2016，Updated March 04, 2026。</w:t>
            </w:r>
          </w:p>
        </w:tc>
      </w:tr>
      <w:tr>
        <w:tc>
          <w:tcPr>
            <w:tcW w:type="dxa" w:w="4320"/>
          </w:tcPr>
          <w:p>
            <w:r>
              <w:t>整理日期</w:t>
            </w:r>
          </w:p>
        </w:tc>
        <w:tc>
          <w:tcPr>
            <w:tcW w:type="dxa" w:w="4320"/>
          </w:tcPr>
          <w:p>
            <w:r>
              <w:t>2026-07-10</w:t>
            </w:r>
          </w:p>
        </w:tc>
      </w:tr>
    </w:tbl>
    <w:p/>
    <w:p>
      <w:r>
        <w:t>本文件是对 NIST 官方 RBAC 项目页和 FAQ 页的知识库化整理，不是对网页全文的复制。整理时保留官方资料中的核心概念、标准沿革、适用价值和可用于本项目权限边界设计的要点。</w:t>
      </w:r>
    </w:p>
    <w:p>
      <w:pPr>
        <w:pStyle w:val="Heading1"/>
      </w:pPr>
      <w:r>
        <w:t>二、网页核心内容整理</w:t>
      </w:r>
    </w:p>
    <w:p>
      <w:r>
        <w:t>NIST 将 RBAC 作为解决大型网络和组织中安全管理复杂度的一种重要访问控制模型。RBAC 的基本思路是：系统不直接把权限分配给单个用户，而是先定义角色，再把权限分配给角色，用户通过被分配到相应角色而获得权限。这样，权限管理可以和组织中的岗位、职责、职能边界对应起来。</w:t>
      </w:r>
    </w:p>
    <w:p>
      <w:pPr>
        <w:pStyle w:val="ListBullet"/>
      </w:pPr>
      <w:r>
        <w:t>RBAC 又称 role based security，NIST 页面说明其在高级访问控制领域已成为主流模型，原因之一是能降低安全管理成本。</w:t>
      </w:r>
    </w:p>
    <w:p>
      <w:pPr>
        <w:pStyle w:val="ListBullet"/>
      </w:pPr>
      <w:r>
        <w:t>NIST 的 RBAC 模型在 2004 年被 ANSI/INCITS 采纳为 359-2004 标准，并在 2012 年修订为 INCITS 359-2012。</w:t>
      </w:r>
    </w:p>
    <w:p>
      <w:pPr>
        <w:pStyle w:val="ListBullet"/>
      </w:pPr>
      <w:r>
        <w:t>RBAC 项目页覆盖概念解释、成本收益、经济影响、设计与实现问题、RBAC 标准和相关研究资料。</w:t>
      </w:r>
    </w:p>
    <w:p>
      <w:pPr>
        <w:pStyle w:val="ListBullet"/>
      </w:pPr>
      <w:r>
        <w:t>NIST 页面强调，传统逐个用户维护访问控制清单容易成本高、出错多；RBAC 则把安全管理提升到接近组织结构的层级。</w:t>
      </w:r>
    </w:p>
    <w:p>
      <w:pPr>
        <w:pStyle w:val="ListBullet"/>
      </w:pPr>
      <w:r>
        <w:t>在 RBAC 中，每个用户可以被赋予一个或多个角色，每个角色拥有一个或多个权限；管理员的关键工作变成定义岗位需要执行的操作，并把人员放入适当角色。</w:t>
      </w:r>
    </w:p>
    <w:p>
      <w:pPr>
        <w:pStyle w:val="ListBullet"/>
      </w:pPr>
      <w:r>
        <w:t>角色互斥、角色层级等复杂关系可以由 RBAC 机制处理，从而降低人工维护权限关系的复杂度。</w:t>
      </w:r>
    </w:p>
    <w:p>
      <w:pPr>
        <w:pStyle w:val="Heading1"/>
      </w:pPr>
      <w:r>
        <w:t>三、RBAC 基本组成</w:t>
      </w:r>
    </w:p>
    <w:tbl>
      <w:tblPr>
        <w:tblStyle w:val="TableGrid"/>
        <w:tblW w:type="auto" w:w="0"/>
        <w:tblLook w:firstColumn="1" w:firstRow="1" w:lastColumn="0" w:lastRow="0" w:noHBand="0" w:noVBand="1" w:val="04A0"/>
      </w:tblPr>
      <w:tblGrid>
        <w:gridCol w:w="2880"/>
        <w:gridCol w:w="2880"/>
        <w:gridCol w:w="2880"/>
      </w:tblGrid>
      <w:tr>
        <w:tc>
          <w:tcPr>
            <w:tcW w:type="dxa" w:w="2880"/>
          </w:tcPr>
          <w:p>
            <w:r>
              <w:t>组成</w:t>
            </w:r>
          </w:p>
        </w:tc>
        <w:tc>
          <w:tcPr>
            <w:tcW w:type="dxa" w:w="2880"/>
          </w:tcPr>
          <w:p>
            <w:r>
              <w:t>含义</w:t>
            </w:r>
          </w:p>
        </w:tc>
        <w:tc>
          <w:tcPr>
            <w:tcW w:type="dxa" w:w="2880"/>
          </w:tcPr>
          <w:p>
            <w:r>
              <w:t>知识库可用解释</w:t>
            </w:r>
          </w:p>
        </w:tc>
      </w:tr>
      <w:tr>
        <w:tc>
          <w:tcPr>
            <w:tcW w:type="dxa" w:w="2880"/>
          </w:tcPr>
          <w:p>
            <w:r>
              <w:t>用户 / 主体</w:t>
            </w:r>
          </w:p>
        </w:tc>
        <w:tc>
          <w:tcPr>
            <w:tcW w:type="dxa" w:w="2880"/>
          </w:tcPr>
          <w:p>
            <w:r>
              <w:t>访问系统的人或自动化主体。</w:t>
            </w:r>
          </w:p>
        </w:tc>
        <w:tc>
          <w:tcPr>
            <w:tcW w:type="dxa" w:w="2880"/>
          </w:tcPr>
          <w:p>
            <w:r>
              <w:t>在本项目中可对应调度员、管理员、审计员、应急协同人员等账号主体。</w:t>
            </w:r>
          </w:p>
        </w:tc>
      </w:tr>
      <w:tr>
        <w:tc>
          <w:tcPr>
            <w:tcW w:type="dxa" w:w="2880"/>
          </w:tcPr>
          <w:p>
            <w:r>
              <w:t>角色</w:t>
            </w:r>
          </w:p>
        </w:tc>
        <w:tc>
          <w:tcPr>
            <w:tcW w:type="dxa" w:w="2880"/>
          </w:tcPr>
          <w:p>
            <w:r>
              <w:t>一组与岗位、职能或职责相关的权限集合。</w:t>
            </w:r>
          </w:p>
        </w:tc>
        <w:tc>
          <w:tcPr>
            <w:tcW w:type="dxa" w:w="2880"/>
          </w:tcPr>
          <w:p>
            <w:r>
              <w:t>例如系统管理员、交通调度员、值班审核员、只读观察员。</w:t>
            </w:r>
          </w:p>
        </w:tc>
      </w:tr>
      <w:tr>
        <w:tc>
          <w:tcPr>
            <w:tcW w:type="dxa" w:w="2880"/>
          </w:tcPr>
          <w:p>
            <w:r>
              <w:t>权限 / 特权</w:t>
            </w:r>
          </w:p>
        </w:tc>
        <w:tc>
          <w:tcPr>
            <w:tcW w:type="dxa" w:w="2880"/>
          </w:tcPr>
          <w:p>
            <w:r>
              <w:t>允许对某类资源执行某类操作的授权。</w:t>
            </w:r>
          </w:p>
        </w:tc>
        <w:tc>
          <w:tcPr>
            <w:tcW w:type="dxa" w:w="2880"/>
          </w:tcPr>
          <w:p>
            <w:r>
              <w:t>例如查看路口状态、创建应急绿波、确认告警、导出日志。</w:t>
            </w:r>
          </w:p>
        </w:tc>
      </w:tr>
      <w:tr>
        <w:tc>
          <w:tcPr>
            <w:tcW w:type="dxa" w:w="2880"/>
          </w:tcPr>
          <w:p>
            <w:r>
              <w:t>操作 / 事务</w:t>
            </w:r>
          </w:p>
        </w:tc>
        <w:tc>
          <w:tcPr>
            <w:tcW w:type="dxa" w:w="2880"/>
          </w:tcPr>
          <w:p>
            <w:r>
              <w:t>主体在系统中发起的具体行为。</w:t>
            </w:r>
          </w:p>
        </w:tc>
        <w:tc>
          <w:tcPr>
            <w:tcW w:type="dxa" w:w="2880"/>
          </w:tcPr>
          <w:p>
            <w:r>
              <w:t>例如切换相位、启动 AI 自适应控制、恢复普通控制、提交审批。</w:t>
            </w:r>
          </w:p>
        </w:tc>
      </w:tr>
      <w:tr>
        <w:tc>
          <w:tcPr>
            <w:tcW w:type="dxa" w:w="2880"/>
          </w:tcPr>
          <w:p>
            <w:r>
              <w:t>对象 / 资源</w:t>
            </w:r>
          </w:p>
        </w:tc>
        <w:tc>
          <w:tcPr>
            <w:tcW w:type="dxa" w:w="2880"/>
          </w:tcPr>
          <w:p>
            <w:r>
              <w:t>被访问或被操作的系统对象。</w:t>
            </w:r>
          </w:p>
        </w:tc>
        <w:tc>
          <w:tcPr>
            <w:tcW w:type="dxa" w:w="2880"/>
          </w:tcPr>
          <w:p>
            <w:r>
              <w:t>例如路口、信号方案、应急任务、告警记录、审计日志。</w:t>
            </w:r>
          </w:p>
        </w:tc>
      </w:tr>
      <w:tr>
        <w:tc>
          <w:tcPr>
            <w:tcW w:type="dxa" w:w="2880"/>
          </w:tcPr>
          <w:p>
            <w:r>
              <w:t>会话</w:t>
            </w:r>
          </w:p>
        </w:tc>
        <w:tc>
          <w:tcPr>
            <w:tcW w:type="dxa" w:w="2880"/>
          </w:tcPr>
          <w:p>
            <w:r>
              <w:t>用户登录后激活某个或某些角色的运行上下文。</w:t>
            </w:r>
          </w:p>
        </w:tc>
        <w:tc>
          <w:tcPr>
            <w:tcW w:type="dxa" w:w="2880"/>
          </w:tcPr>
          <w:p>
            <w:r>
              <w:t>同一用户可拥有多个角色，但某次操作只应在被激活且被授权的角色范围内进行。</w:t>
            </w:r>
          </w:p>
        </w:tc>
      </w:tr>
      <w:tr>
        <w:tc>
          <w:tcPr>
            <w:tcW w:type="dxa" w:w="2880"/>
          </w:tcPr>
          <w:p>
            <w:r>
              <w:t>角色层级</w:t>
            </w:r>
          </w:p>
        </w:tc>
        <w:tc>
          <w:tcPr>
            <w:tcW w:type="dxa" w:w="2880"/>
          </w:tcPr>
          <w:p>
            <w:r>
              <w:t>高层级角色继承低层级角色权限的关系。</w:t>
            </w:r>
          </w:p>
        </w:tc>
        <w:tc>
          <w:tcPr>
            <w:tcW w:type="dxa" w:w="2880"/>
          </w:tcPr>
          <w:p>
            <w:r>
              <w:t>适合定义管理员、主管、普通调度员之间的权限继承。</w:t>
            </w:r>
          </w:p>
        </w:tc>
      </w:tr>
      <w:tr>
        <w:tc>
          <w:tcPr>
            <w:tcW w:type="dxa" w:w="2880"/>
          </w:tcPr>
          <w:p>
            <w:r>
              <w:t>约束</w:t>
            </w:r>
          </w:p>
        </w:tc>
        <w:tc>
          <w:tcPr>
            <w:tcW w:type="dxa" w:w="2880"/>
          </w:tcPr>
          <w:p>
            <w:r>
              <w:t>对角色、权限或会话施加的限制。</w:t>
            </w:r>
          </w:p>
        </w:tc>
        <w:tc>
          <w:tcPr>
            <w:tcW w:type="dxa" w:w="2880"/>
          </w:tcPr>
          <w:p>
            <w:r>
              <w:t>可用于岗位分离、互斥职责、应急操作二次确认等规则。</w:t>
            </w:r>
          </w:p>
        </w:tc>
      </w:tr>
    </w:tbl>
    <w:p/>
    <w:p>
      <w:pPr>
        <w:pStyle w:val="Heading1"/>
      </w:pPr>
      <w:r>
        <w:t>四、NIST FAQ 中的三条基本规则</w:t>
      </w:r>
    </w:p>
    <w:p>
      <w:pPr>
        <w:pStyle w:val="ListNumber"/>
      </w:pPr>
      <w:r>
        <w:t>角色分配：主体只有在被分配或选择了某个角色后，才能执行交易或操作。登录认证本身不算业务操作，登录后的业务活动必须通过某个活动角色进行。</w:t>
      </w:r>
    </w:p>
    <w:p>
      <w:pPr>
        <w:pStyle w:val="ListNumber"/>
      </w:pPr>
      <w:r>
        <w:t>角色授权：主体激活的角色必须是该主体被授权拥有的角色。该规则用于防止用户自行切换到未经授权的角色。</w:t>
      </w:r>
    </w:p>
    <w:p>
      <w:pPr>
        <w:pStyle w:val="ListNumber"/>
      </w:pPr>
      <w:r>
        <w:t>交易授权：主体只能执行其活动角色被授权的交易或操作，并且还要符合用户、角色、权限之间的约束条件。</w:t>
      </w:r>
    </w:p>
    <w:p>
      <w:r>
        <w:t>这三条规则可以直接转化为本项目的权限边界原则：账号不能绕过角色直接拿权限；角色不能绕过授权被临时激活；业务操作不能只看“是否登录”，还要看“当前角色是否被允许执行该操作”。</w:t>
      </w:r>
    </w:p>
    <w:p>
      <w:pPr>
        <w:pStyle w:val="Heading1"/>
      </w:pPr>
      <w:r>
        <w:t>五、RBAC 与用户组的区别</w:t>
      </w:r>
    </w:p>
    <w:p>
      <w:r>
        <w:t>NIST FAQ 将 RBAC 与传统 group 机制作了区分：传统组通常是用户集合，权限可能同时挂在用户和组上；RBAC 要求访问通过角色发生，权限连接到角色，而不是直接连接到用户。RBAC 还强调会话概念，即用户可以在一次会话中激活自己被授权角色的子集。</w:t>
      </w:r>
    </w:p>
    <w:p>
      <w:pPr>
        <w:pStyle w:val="Heading1"/>
      </w:pPr>
      <w:r>
        <w:t>六、RBAC 标准结构</w:t>
      </w:r>
    </w:p>
    <w:tbl>
      <w:tblPr>
        <w:tblStyle w:val="TableGrid"/>
        <w:tblW w:type="auto" w:w="0"/>
        <w:tblLook w:firstColumn="1" w:firstRow="1" w:lastColumn="0" w:lastRow="0" w:noHBand="0" w:noVBand="1" w:val="04A0"/>
      </w:tblPr>
      <w:tblGrid>
        <w:gridCol w:w="4320"/>
        <w:gridCol w:w="4320"/>
      </w:tblGrid>
      <w:tr>
        <w:tc>
          <w:tcPr>
            <w:tcW w:type="dxa" w:w="4320"/>
          </w:tcPr>
          <w:p>
            <w:r>
              <w:t>标准组件</w:t>
            </w:r>
          </w:p>
        </w:tc>
        <w:tc>
          <w:tcPr>
            <w:tcW w:type="dxa" w:w="4320"/>
          </w:tcPr>
          <w:p>
            <w:r>
              <w:t>整理说明</w:t>
            </w:r>
          </w:p>
        </w:tc>
      </w:tr>
      <w:tr>
        <w:tc>
          <w:tcPr>
            <w:tcW w:type="dxa" w:w="4320"/>
          </w:tcPr>
          <w:p>
            <w:r>
              <w:t>Core RBAC</w:t>
            </w:r>
          </w:p>
        </w:tc>
        <w:tc>
          <w:tcPr>
            <w:tcW w:type="dxa" w:w="4320"/>
          </w:tcPr>
          <w:p>
            <w:r>
              <w:t>最小 RBAC 元素、集合与关系，包括用户-角色分配、权限-角色分配，以及用户会话中的角色激活。</w:t>
            </w:r>
          </w:p>
        </w:tc>
      </w:tr>
      <w:tr>
        <w:tc>
          <w:tcPr>
            <w:tcW w:type="dxa" w:w="4320"/>
          </w:tcPr>
          <w:p>
            <w:r>
              <w:t>Hierarchical RBAC</w:t>
            </w:r>
          </w:p>
        </w:tc>
        <w:tc>
          <w:tcPr>
            <w:tcW w:type="dxa" w:w="4320"/>
          </w:tcPr>
          <w:p>
            <w:r>
              <w:t>在核心 RBAC 上增加角色层级，使高层角色可以继承下级角色的授权用户或授权权限。</w:t>
            </w:r>
          </w:p>
        </w:tc>
      </w:tr>
      <w:tr>
        <w:tc>
          <w:tcPr>
            <w:tcW w:type="dxa" w:w="4320"/>
          </w:tcPr>
          <w:p>
            <w:r>
              <w:t>Static Separation of Duty</w:t>
            </w:r>
          </w:p>
        </w:tc>
        <w:tc>
          <w:tcPr>
            <w:tcW w:type="dxa" w:w="4320"/>
          </w:tcPr>
          <w:p>
            <w:r>
              <w:t>静态职责分离，限制同一用户不能同时被分配到互斥角色。</w:t>
            </w:r>
          </w:p>
        </w:tc>
      </w:tr>
      <w:tr>
        <w:tc>
          <w:tcPr>
            <w:tcW w:type="dxa" w:w="4320"/>
          </w:tcPr>
          <w:p>
            <w:r>
              <w:t>Dynamic Separation of Duty</w:t>
            </w:r>
          </w:p>
        </w:tc>
        <w:tc>
          <w:tcPr>
            <w:tcW w:type="dxa" w:w="4320"/>
          </w:tcPr>
          <w:p>
            <w:r>
              <w:t>动态职责分离，限制同一会话或同一操作过程中不能同时激活互斥角色。</w:t>
            </w:r>
          </w:p>
        </w:tc>
      </w:tr>
    </w:tbl>
    <w:p/>
    <w:p>
      <w:pPr>
        <w:pStyle w:val="Heading1"/>
      </w:pPr>
      <w:r>
        <w:t>七、可放入本项目知识库的制度依据</w:t>
      </w:r>
    </w:p>
    <w:p>
      <w:pPr>
        <w:pStyle w:val="ListBullet"/>
      </w:pPr>
      <w:r>
        <w:t>角色权限表应以岗位职责为基础，而不是以个人习惯为基础。</w:t>
      </w:r>
    </w:p>
    <w:p>
      <w:pPr>
        <w:pStyle w:val="ListBullet"/>
      </w:pPr>
      <w:r>
        <w:t>用户权限矩阵应表达“用户-角色-权限-资源-操作”的关系，避免把权限直接分配给个人。</w:t>
      </w:r>
    </w:p>
    <w:p>
      <w:pPr>
        <w:pStyle w:val="ListBullet"/>
      </w:pPr>
      <w:r>
        <w:t>应急绿波、手动相位切换、AI 控制启停等高影响操作，应通过角色授权和操作约束共同控制。</w:t>
      </w:r>
    </w:p>
    <w:p>
      <w:pPr>
        <w:pStyle w:val="ListBullet"/>
      </w:pPr>
      <w:r>
        <w:t>互斥职责可以拆分为“发起人”和“审核人”，防止同一账号既提交高风险操作又完成审批。</w:t>
      </w:r>
    </w:p>
    <w:p>
      <w:pPr>
        <w:pStyle w:val="ListBullet"/>
      </w:pPr>
      <w:r>
        <w:t>审计时应能回答：谁以什么角色，在什么会话中，对什么资源执行了什么操作，是否符合角色授权和约束。</w:t>
      </w:r>
    </w:p>
    <w:p>
      <w:pPr>
        <w:pStyle w:val="Heading1"/>
      </w:pPr>
      <w:r>
        <w:t>八、与交通信号控制系统的对应关系（项目化整理，非官方原文）</w:t>
      </w:r>
    </w:p>
    <w:tbl>
      <w:tblPr>
        <w:tblStyle w:val="TableGrid"/>
        <w:tblW w:type="auto" w:w="0"/>
        <w:tblLook w:firstColumn="1" w:firstRow="1" w:lastColumn="0" w:lastRow="0" w:noHBand="0" w:noVBand="1" w:val="04A0"/>
      </w:tblPr>
      <w:tblGrid>
        <w:gridCol w:w="4320"/>
        <w:gridCol w:w="4320"/>
      </w:tblGrid>
      <w:tr>
        <w:tc>
          <w:tcPr>
            <w:tcW w:type="dxa" w:w="4320"/>
          </w:tcPr>
          <w:p>
            <w:r>
              <w:t>本项目场景</w:t>
            </w:r>
          </w:p>
        </w:tc>
        <w:tc>
          <w:tcPr>
            <w:tcW w:type="dxa" w:w="4320"/>
          </w:tcPr>
          <w:p>
            <w:r>
              <w:t>可借用的 RBAC 思路</w:t>
            </w:r>
          </w:p>
        </w:tc>
      </w:tr>
      <w:tr>
        <w:tc>
          <w:tcPr>
            <w:tcW w:type="dxa" w:w="4320"/>
          </w:tcPr>
          <w:p>
            <w:r>
              <w:t>查看路口状态 / 交通指标</w:t>
            </w:r>
          </w:p>
        </w:tc>
        <w:tc>
          <w:tcPr>
            <w:tcW w:type="dxa" w:w="4320"/>
          </w:tcPr>
          <w:p>
            <w:r>
              <w:t>可授权给只读观察员、调度员、管理员等多个角色。</w:t>
            </w:r>
          </w:p>
        </w:tc>
      </w:tr>
      <w:tr>
        <w:tc>
          <w:tcPr>
            <w:tcW w:type="dxa" w:w="4320"/>
          </w:tcPr>
          <w:p>
            <w:r>
              <w:t>启动或暂停 AI 自适应控制</w:t>
            </w:r>
          </w:p>
        </w:tc>
        <w:tc>
          <w:tcPr>
            <w:tcW w:type="dxa" w:w="4320"/>
          </w:tcPr>
          <w:p>
            <w:r>
              <w:t>应限定为调度员及以上角色，并记录操作来源和确认过程。</w:t>
            </w:r>
          </w:p>
        </w:tc>
      </w:tr>
      <w:tr>
        <w:tc>
          <w:tcPr>
            <w:tcW w:type="dxa" w:w="4320"/>
          </w:tcPr>
          <w:p>
            <w:r>
              <w:t>创建应急绿波任务</w:t>
            </w:r>
          </w:p>
        </w:tc>
        <w:tc>
          <w:tcPr>
            <w:tcW w:type="dxa" w:w="4320"/>
          </w:tcPr>
          <w:p>
            <w:r>
              <w:t>应限定为应急调度角色；若影响范围较大，应触发二次确认或审批。</w:t>
            </w:r>
          </w:p>
        </w:tc>
      </w:tr>
      <w:tr>
        <w:tc>
          <w:tcPr>
            <w:tcW w:type="dxa" w:w="4320"/>
          </w:tcPr>
          <w:p>
            <w:r>
              <w:t>恢复普通控制</w:t>
            </w:r>
          </w:p>
        </w:tc>
        <w:tc>
          <w:tcPr>
            <w:tcW w:type="dxa" w:w="4320"/>
          </w:tcPr>
          <w:p>
            <w:r>
              <w:t>应由应急任务负责人或更高授权角色执行，并保留恢复原因。</w:t>
            </w:r>
          </w:p>
        </w:tc>
      </w:tr>
      <w:tr>
        <w:tc>
          <w:tcPr>
            <w:tcW w:type="dxa" w:w="4320"/>
          </w:tcPr>
          <w:p>
            <w:r>
              <w:t>确认告警</w:t>
            </w:r>
          </w:p>
        </w:tc>
        <w:tc>
          <w:tcPr>
            <w:tcW w:type="dxa" w:w="4320"/>
          </w:tcPr>
          <w:p>
            <w:r>
              <w:t>可由值班调度员执行，但关闭重大告警应有额外约束。</w:t>
            </w:r>
          </w:p>
        </w:tc>
      </w:tr>
      <w:tr>
        <w:tc>
          <w:tcPr>
            <w:tcW w:type="dxa" w:w="4320"/>
          </w:tcPr>
          <w:p>
            <w:r>
              <w:t>查看审计日志</w:t>
            </w:r>
          </w:p>
        </w:tc>
        <w:tc>
          <w:tcPr>
            <w:tcW w:type="dxa" w:w="4320"/>
          </w:tcPr>
          <w:p>
            <w:r>
              <w:t>应交给审计员、管理员或主管角色，普通操作员不应随意修改或删除。</w:t>
            </w:r>
          </w:p>
        </w:tc>
      </w:tr>
    </w:tbl>
    <w:p/>
    <w:p>
      <w:pPr>
        <w:pStyle w:val="Heading1"/>
      </w:pPr>
      <w:r>
        <w:t>九、检索关键词</w:t>
      </w:r>
    </w:p>
    <w:p>
      <w:r>
        <w:t>RBAC；Role Based Access Control；角色权限；权限矩阵；职责分离；静态职责分离；动态职责分离；角色层级；用户-角色分配；权限-角色分配；访问控制。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