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2"/>
        </w:rPr>
        <w:t>NIST SP 800-53 Rev.5 安全与隐私控制官方资料整理</w:t>
      </w:r>
    </w:p>
    <w:p>
      <w:pPr>
        <w:jc w:val="center"/>
      </w:pPr>
      <w:r>
        <w:rPr>
          <w:rFonts w:ascii="Microsoft YaHei" w:hAnsi="Microsoft YaHei" w:eastAsia="Microsoft YaHei"/>
          <w:b w:val="0"/>
          <w:sz w:val="21"/>
        </w:rPr>
        <w:t>业务制度与权限边界知识库 / 外部来源整理</w:t>
      </w:r>
    </w:p>
    <w:p/>
    <w:p>
      <w:pPr>
        <w:pStyle w:val="Heading1"/>
      </w:pPr>
      <w:r>
        <w:t>一、来源信息</w:t>
      </w:r>
    </w:p>
    <w:tbl>
      <w:tblPr>
        <w:tblStyle w:val="TableGrid"/>
        <w:tblW w:type="auto" w:w="0"/>
        <w:tblLook w:firstColumn="1" w:firstRow="1" w:lastColumn="0" w:lastRow="0" w:noHBand="0" w:noVBand="1" w:val="04A0"/>
      </w:tblPr>
      <w:tblGrid>
        <w:gridCol w:w="4320"/>
        <w:gridCol w:w="4320"/>
      </w:tblGrid>
      <w:tr>
        <w:tc>
          <w:tcPr>
            <w:tcW w:type="dxa" w:w="4320"/>
          </w:tcPr>
          <w:p>
            <w:r>
              <w:t>项目</w:t>
            </w:r>
          </w:p>
        </w:tc>
        <w:tc>
          <w:tcPr>
            <w:tcW w:type="dxa" w:w="4320"/>
          </w:tcPr>
          <w:p>
            <w:r>
              <w:t>内容</w:t>
            </w:r>
          </w:p>
        </w:tc>
      </w:tr>
      <w:tr>
        <w:tc>
          <w:tcPr>
            <w:tcW w:type="dxa" w:w="4320"/>
          </w:tcPr>
          <w:p>
            <w:r>
              <w:t>官方机构</w:t>
            </w:r>
          </w:p>
        </w:tc>
        <w:tc>
          <w:tcPr>
            <w:tcW w:type="dxa" w:w="4320"/>
          </w:tcPr>
          <w:p>
            <w:r>
              <w:t>National Institute of Standards and Technology（NIST） / Computer Security Resource Center（CSRC）</w:t>
            </w:r>
          </w:p>
        </w:tc>
      </w:tr>
      <w:tr>
        <w:tc>
          <w:tcPr>
            <w:tcW w:type="dxa" w:w="4320"/>
          </w:tcPr>
          <w:p>
            <w:r>
              <w:t>出版物名称</w:t>
            </w:r>
          </w:p>
        </w:tc>
        <w:tc>
          <w:tcPr>
            <w:tcW w:type="dxa" w:w="4320"/>
          </w:tcPr>
          <w:p>
            <w:r>
              <w:t>NIST SP 800-53 Rev. 5, Security and Privacy Controls for Information Systems and Organizations</w:t>
            </w:r>
          </w:p>
        </w:tc>
      </w:tr>
      <w:tr>
        <w:tc>
          <w:tcPr>
            <w:tcW w:type="dxa" w:w="4320"/>
          </w:tcPr>
          <w:p>
            <w:r>
              <w:t>官方页面</w:t>
            </w:r>
          </w:p>
        </w:tc>
        <w:tc>
          <w:tcPr>
            <w:tcW w:type="dxa" w:w="4320"/>
          </w:tcPr>
          <w:p>
            <w:r>
              <w:t>https://csrc.nist.gov/pubs/sp/800/53/r5/upd1/final</w:t>
            </w:r>
          </w:p>
        </w:tc>
      </w:tr>
      <w:tr>
        <w:tc>
          <w:tcPr>
            <w:tcW w:type="dxa" w:w="4320"/>
          </w:tcPr>
          <w:p>
            <w:r>
              <w:t>DOI / 发布入口</w:t>
            </w:r>
          </w:p>
        </w:tc>
        <w:tc>
          <w:tcPr>
            <w:tcW w:type="dxa" w:w="4320"/>
          </w:tcPr>
          <w:p>
            <w:r>
              <w:t>https://doi.org/10.6028/NIST.SP.800-53r5</w:t>
            </w:r>
          </w:p>
        </w:tc>
      </w:tr>
      <w:tr>
        <w:tc>
          <w:tcPr>
            <w:tcW w:type="dxa" w:w="4320"/>
          </w:tcPr>
          <w:p>
            <w:r>
              <w:t>发布日期</w:t>
            </w:r>
          </w:p>
        </w:tc>
        <w:tc>
          <w:tcPr>
            <w:tcW w:type="dxa" w:w="4320"/>
          </w:tcPr>
          <w:p>
            <w:r>
              <w:t>September 2020（includes updates as of Dec. 10, 2020）</w:t>
            </w:r>
          </w:p>
        </w:tc>
      </w:tr>
      <w:tr>
        <w:tc>
          <w:tcPr>
            <w:tcW w:type="dxa" w:w="4320"/>
          </w:tcPr>
          <w:p>
            <w:r>
              <w:t>页面补充信息</w:t>
            </w:r>
          </w:p>
        </w:tc>
        <w:tc>
          <w:tcPr>
            <w:tcW w:type="dxa" w:w="4320"/>
          </w:tcPr>
          <w:p>
            <w:r>
              <w:t>NIST 页面在 2025-08-27 说明发布 SP 800-53 Release 5.2.0 小版本更新，涉及若干控制项、控制增强和相关控制更新。</w:t>
            </w:r>
          </w:p>
        </w:tc>
      </w:tr>
      <w:tr>
        <w:tc>
          <w:tcPr>
            <w:tcW w:type="dxa" w:w="4320"/>
          </w:tcPr>
          <w:p>
            <w:r>
              <w:t>作者</w:t>
            </w:r>
          </w:p>
        </w:tc>
        <w:tc>
          <w:tcPr>
            <w:tcW w:type="dxa" w:w="4320"/>
          </w:tcPr>
          <w:p>
            <w:r>
              <w:t>Joint Task Force</w:t>
            </w:r>
          </w:p>
        </w:tc>
      </w:tr>
      <w:tr>
        <w:tc>
          <w:tcPr>
            <w:tcW w:type="dxa" w:w="4320"/>
          </w:tcPr>
          <w:p>
            <w:r>
              <w:t>整理日期</w:t>
            </w:r>
          </w:p>
        </w:tc>
        <w:tc>
          <w:tcPr>
            <w:tcW w:type="dxa" w:w="4320"/>
          </w:tcPr>
          <w:p>
            <w:r>
              <w:t>2026-07-10</w:t>
            </w:r>
          </w:p>
        </w:tc>
      </w:tr>
    </w:tbl>
    <w:p/>
    <w:p>
      <w:r>
        <w:t>本文件是对 NIST SP 800-53 Rev. 5 官方出版页的知识库化整理，重点提取与“业务制度与权限边界知识库”相关的访问控制、审计、身份认证、事件响应、风险评估和系统完整性内容。</w:t>
      </w:r>
    </w:p>
    <w:p>
      <w:pPr>
        <w:pStyle w:val="Heading1"/>
      </w:pPr>
      <w:r>
        <w:t>二、官方资料定位</w:t>
      </w:r>
    </w:p>
    <w:p>
      <w:r>
        <w:t>SP 800-53 Rev. 5 提供一套安全与隐私控制目录，用于帮助信息系统和组织保护组织运行、资产、个人、其他组织以及国家层面的利益，覆盖恶意攻击、人为错误、自然灾害、结构性故障、外国情报实体和隐私风险等多类威胁与风险。</w:t>
      </w:r>
    </w:p>
    <w:p>
      <w:pPr>
        <w:pStyle w:val="ListBullet"/>
      </w:pPr>
      <w:r>
        <w:t>控制项具有灵活性和可定制性，应作为组织范围风险管理过程的一部分实施。</w:t>
      </w:r>
    </w:p>
    <w:p>
      <w:pPr>
        <w:pStyle w:val="ListBullet"/>
      </w:pPr>
      <w:r>
        <w:t>控制要求可以来自业务任务、法律法规、行政命令、指令、监管要求、政策、标准和指南。</w:t>
      </w:r>
    </w:p>
    <w:p>
      <w:pPr>
        <w:pStyle w:val="ListBullet"/>
      </w:pPr>
      <w:r>
        <w:t>Rev. 5 将安全和隐私控制合并到统一目录中，既关注功能是否足够，也关注组织对这些功能的信心和保证程度。</w:t>
      </w:r>
    </w:p>
    <w:p>
      <w:pPr>
        <w:pStyle w:val="ListBullet"/>
      </w:pPr>
      <w:r>
        <w:t>官方页面提供出版物、补充材料、与其他框架或标准的映射、OSCAL 格式控制集等资料。</w:t>
      </w:r>
    </w:p>
    <w:p>
      <w:pPr>
        <w:pStyle w:val="Heading1"/>
      </w:pPr>
      <w:r>
        <w:t>三、与权限边界最相关的控制族</w:t>
      </w:r>
    </w:p>
    <w:tbl>
      <w:tblPr>
        <w:tblStyle w:val="TableGrid"/>
        <w:tblW w:type="auto" w:w="0"/>
        <w:tblLook w:firstColumn="1" w:firstRow="1" w:lastColumn="0" w:lastRow="0" w:noHBand="0" w:noVBand="1" w:val="04A0"/>
      </w:tblPr>
      <w:tblGrid>
        <w:gridCol w:w="2880"/>
        <w:gridCol w:w="2880"/>
        <w:gridCol w:w="2880"/>
      </w:tblGrid>
      <w:tr>
        <w:tc>
          <w:tcPr>
            <w:tcW w:type="dxa" w:w="2880"/>
          </w:tcPr>
          <w:p>
            <w:r>
              <w:t>控制族</w:t>
            </w:r>
          </w:p>
        </w:tc>
        <w:tc>
          <w:tcPr>
            <w:tcW w:type="dxa" w:w="2880"/>
          </w:tcPr>
          <w:p>
            <w:r>
              <w:t>英文名称</w:t>
            </w:r>
          </w:p>
        </w:tc>
        <w:tc>
          <w:tcPr>
            <w:tcW w:type="dxa" w:w="2880"/>
          </w:tcPr>
          <w:p>
            <w:r>
              <w:t>在本项目中的用途</w:t>
            </w:r>
          </w:p>
        </w:tc>
      </w:tr>
      <w:tr>
        <w:tc>
          <w:tcPr>
            <w:tcW w:type="dxa" w:w="2880"/>
          </w:tcPr>
          <w:p>
            <w:r>
              <w:t>AC</w:t>
            </w:r>
          </w:p>
        </w:tc>
        <w:tc>
          <w:tcPr>
            <w:tcW w:type="dxa" w:w="2880"/>
          </w:tcPr>
          <w:p>
            <w:r>
              <w:t>Access Control</w:t>
            </w:r>
          </w:p>
        </w:tc>
        <w:tc>
          <w:tcPr>
            <w:tcW w:type="dxa" w:w="2880"/>
          </w:tcPr>
          <w:p>
            <w:r>
              <w:t>定义用户、角色、权限、最小权限、高风险操作授权和会话控制。</w:t>
            </w:r>
          </w:p>
        </w:tc>
      </w:tr>
      <w:tr>
        <w:tc>
          <w:tcPr>
            <w:tcW w:type="dxa" w:w="2880"/>
          </w:tcPr>
          <w:p>
            <w:r>
              <w:t>IA</w:t>
            </w:r>
          </w:p>
        </w:tc>
        <w:tc>
          <w:tcPr>
            <w:tcW w:type="dxa" w:w="2880"/>
          </w:tcPr>
          <w:p>
            <w:r>
              <w:t>Identification and Authentication</w:t>
            </w:r>
          </w:p>
        </w:tc>
        <w:tc>
          <w:tcPr>
            <w:tcW w:type="dxa" w:w="2880"/>
          </w:tcPr>
          <w:p>
            <w:r>
              <w:t>支撑登录身份识别、认证、账号唯一性和操作主体确认。</w:t>
            </w:r>
          </w:p>
        </w:tc>
      </w:tr>
      <w:tr>
        <w:tc>
          <w:tcPr>
            <w:tcW w:type="dxa" w:w="2880"/>
          </w:tcPr>
          <w:p>
            <w:r>
              <w:t>AU</w:t>
            </w:r>
          </w:p>
        </w:tc>
        <w:tc>
          <w:tcPr>
            <w:tcW w:type="dxa" w:w="2880"/>
          </w:tcPr>
          <w:p>
            <w:r>
              <w:t>Audit and Accountability</w:t>
            </w:r>
          </w:p>
        </w:tc>
        <w:tc>
          <w:tcPr>
            <w:tcW w:type="dxa" w:w="2880"/>
          </w:tcPr>
          <w:p>
            <w:r>
              <w:t>支撑审计日志、操作留痕、日志保护、日志复核和追责。</w:t>
            </w:r>
          </w:p>
        </w:tc>
      </w:tr>
      <w:tr>
        <w:tc>
          <w:tcPr>
            <w:tcW w:type="dxa" w:w="2880"/>
          </w:tcPr>
          <w:p>
            <w:r>
              <w:t>IR</w:t>
            </w:r>
          </w:p>
        </w:tc>
        <w:tc>
          <w:tcPr>
            <w:tcW w:type="dxa" w:w="2880"/>
          </w:tcPr>
          <w:p>
            <w:r>
              <w:t>Incident Response</w:t>
            </w:r>
          </w:p>
        </w:tc>
        <w:tc>
          <w:tcPr>
            <w:tcW w:type="dxa" w:w="2880"/>
          </w:tcPr>
          <w:p>
            <w:r>
              <w:t>支撑越权访问、异常控制、误操作和安全事件响应流程。</w:t>
            </w:r>
          </w:p>
        </w:tc>
      </w:tr>
      <w:tr>
        <w:tc>
          <w:tcPr>
            <w:tcW w:type="dxa" w:w="2880"/>
          </w:tcPr>
          <w:p>
            <w:r>
              <w:t>RA</w:t>
            </w:r>
          </w:p>
        </w:tc>
        <w:tc>
          <w:tcPr>
            <w:tcW w:type="dxa" w:w="2880"/>
          </w:tcPr>
          <w:p>
            <w:r>
              <w:t>Risk Assessment</w:t>
            </w:r>
          </w:p>
        </w:tc>
        <w:tc>
          <w:tcPr>
            <w:tcW w:type="dxa" w:w="2880"/>
          </w:tcPr>
          <w:p>
            <w:r>
              <w:t>支撑对 AI 控制、应急绿波、手动干预等操作的风险识别与评估。</w:t>
            </w:r>
          </w:p>
        </w:tc>
      </w:tr>
      <w:tr>
        <w:tc>
          <w:tcPr>
            <w:tcW w:type="dxa" w:w="2880"/>
          </w:tcPr>
          <w:p>
            <w:r>
              <w:t>CA</w:t>
            </w:r>
          </w:p>
        </w:tc>
        <w:tc>
          <w:tcPr>
            <w:tcW w:type="dxa" w:w="2880"/>
          </w:tcPr>
          <w:p>
            <w:r>
              <w:t>Assessment, Authorization and Monitoring</w:t>
            </w:r>
          </w:p>
        </w:tc>
        <w:tc>
          <w:tcPr>
            <w:tcW w:type="dxa" w:w="2880"/>
          </w:tcPr>
          <w:p>
            <w:r>
              <w:t>支撑控制措施评估、授权和持续监测。</w:t>
            </w:r>
          </w:p>
        </w:tc>
      </w:tr>
      <w:tr>
        <w:tc>
          <w:tcPr>
            <w:tcW w:type="dxa" w:w="2880"/>
          </w:tcPr>
          <w:p>
            <w:r>
              <w:t>CM</w:t>
            </w:r>
          </w:p>
        </w:tc>
        <w:tc>
          <w:tcPr>
            <w:tcW w:type="dxa" w:w="2880"/>
          </w:tcPr>
          <w:p>
            <w:r>
              <w:t>Configuration Management</w:t>
            </w:r>
          </w:p>
        </w:tc>
        <w:tc>
          <w:tcPr>
            <w:tcW w:type="dxa" w:w="2880"/>
          </w:tcPr>
          <w:p>
            <w:r>
              <w:t>支撑信号控制参数、系统配置、策略配置的变更管理。</w:t>
            </w:r>
          </w:p>
        </w:tc>
      </w:tr>
      <w:tr>
        <w:tc>
          <w:tcPr>
            <w:tcW w:type="dxa" w:w="2880"/>
          </w:tcPr>
          <w:p>
            <w:r>
              <w:t>SI</w:t>
            </w:r>
          </w:p>
        </w:tc>
        <w:tc>
          <w:tcPr>
            <w:tcW w:type="dxa" w:w="2880"/>
          </w:tcPr>
          <w:p>
            <w:r>
              <w:t>System and Information Integrity</w:t>
            </w:r>
          </w:p>
        </w:tc>
        <w:tc>
          <w:tcPr>
            <w:tcW w:type="dxa" w:w="2880"/>
          </w:tcPr>
          <w:p>
            <w:r>
              <w:t>支撑系统完整性、异常检测、错误修复和运行状态维护。</w:t>
            </w:r>
          </w:p>
        </w:tc>
      </w:tr>
      <w:tr>
        <w:tc>
          <w:tcPr>
            <w:tcW w:type="dxa" w:w="2880"/>
          </w:tcPr>
          <w:p>
            <w:r>
              <w:t>SC</w:t>
            </w:r>
          </w:p>
        </w:tc>
        <w:tc>
          <w:tcPr>
            <w:tcW w:type="dxa" w:w="2880"/>
          </w:tcPr>
          <w:p>
            <w:r>
              <w:t>System and Communications Protection</w:t>
            </w:r>
          </w:p>
        </w:tc>
        <w:tc>
          <w:tcPr>
            <w:tcW w:type="dxa" w:w="2880"/>
          </w:tcPr>
          <w:p>
            <w:r>
              <w:t>支撑系统通信保护、接口访问边界、数据传输保护。</w:t>
            </w:r>
          </w:p>
        </w:tc>
      </w:tr>
      <w:tr>
        <w:tc>
          <w:tcPr>
            <w:tcW w:type="dxa" w:w="2880"/>
          </w:tcPr>
          <w:p>
            <w:r>
              <w:t>PT</w:t>
            </w:r>
          </w:p>
        </w:tc>
        <w:tc>
          <w:tcPr>
            <w:tcW w:type="dxa" w:w="2880"/>
          </w:tcPr>
          <w:p>
            <w:r>
              <w:t>PII Processing and Transparency</w:t>
            </w:r>
          </w:p>
        </w:tc>
        <w:tc>
          <w:tcPr>
            <w:tcW w:type="dxa" w:w="2880"/>
          </w:tcPr>
          <w:p>
            <w:r>
              <w:t>支撑个人信息处理透明度和隐私相关制度。</w:t>
            </w:r>
          </w:p>
        </w:tc>
      </w:tr>
      <w:tr>
        <w:tc>
          <w:tcPr>
            <w:tcW w:type="dxa" w:w="2880"/>
          </w:tcPr>
          <w:p>
            <w:r>
              <w:t>SR</w:t>
            </w:r>
          </w:p>
        </w:tc>
        <w:tc>
          <w:tcPr>
            <w:tcW w:type="dxa" w:w="2880"/>
          </w:tcPr>
          <w:p>
            <w:r>
              <w:t>Supply Chain Risk Management</w:t>
            </w:r>
          </w:p>
        </w:tc>
        <w:tc>
          <w:tcPr>
            <w:tcW w:type="dxa" w:w="2880"/>
          </w:tcPr>
          <w:p>
            <w:r>
              <w:t>支撑第三方模型、组件、接口和数据源的供应链风险管理。</w:t>
            </w:r>
          </w:p>
        </w:tc>
      </w:tr>
    </w:tbl>
    <w:p/>
    <w:p>
      <w:pPr>
        <w:pStyle w:val="Heading1"/>
      </w:pPr>
      <w:r>
        <w:t>四、官方页面列出的完整控制族</w:t>
      </w:r>
    </w:p>
    <w:p>
      <w:r>
        <w:t>官方页面列出的 Control Families 包括：Access Control；Awareness and Training；Audit and Accountability；Assessment, Authorization and Monitoring；Configuration Management；Contingency Planning；Identification and Authentication；Incident Response；Maintenance；Media Protection；Physical and Environmental Protection；Planning；Program Management；Personnel Security；PII Processing and Transparency；Risk Assessment；System and Services Acquisition；System and Communications Protection；System and Information Integrity；Supply Chain Risk Management。</w:t>
      </w:r>
    </w:p>
    <w:p>
      <w:pPr>
        <w:pStyle w:val="Heading1"/>
      </w:pPr>
      <w:r>
        <w:t>五、可转化为本项目制度的核心原则</w:t>
      </w:r>
    </w:p>
    <w:p>
      <w:pPr>
        <w:pStyle w:val="ListNumber"/>
      </w:pPr>
      <w:r>
        <w:t>权限控制应以组织风险管理为背景，而不是只看功能按钮是否可用。</w:t>
      </w:r>
    </w:p>
    <w:p>
      <w:pPr>
        <w:pStyle w:val="ListNumber"/>
      </w:pPr>
      <w:r>
        <w:t>高影响操作必须有明确授权边界，尤其是应急绿波、信号相位切换、AI 控制启停、恢复普通控制等会影响道路运行秩序的操作。</w:t>
      </w:r>
    </w:p>
    <w:p>
      <w:pPr>
        <w:pStyle w:val="ListNumber"/>
      </w:pPr>
      <w:r>
        <w:t>审计日志不只是记录“发生了什么”，还要支持后续问责、复核和异常发现。</w:t>
      </w:r>
    </w:p>
    <w:p>
      <w:pPr>
        <w:pStyle w:val="ListNumber"/>
      </w:pPr>
      <w:r>
        <w:t>身份认证和访问控制需要配套，不能只要登录成功就默认所有操作都被允许。</w:t>
      </w:r>
    </w:p>
    <w:p>
      <w:pPr>
        <w:pStyle w:val="ListNumber"/>
      </w:pPr>
      <w:r>
        <w:t>控制措施应可评估、可持续监测、可根据风险变化调整。</w:t>
      </w:r>
    </w:p>
    <w:p>
      <w:pPr>
        <w:pStyle w:val="ListNumber"/>
      </w:pPr>
      <w:r>
        <w:t>外部模型、第三方服务、接口数据源进入系统时，应纳入供应链和系统完整性风险管理。</w:t>
      </w:r>
    </w:p>
    <w:p>
      <w:pPr>
        <w:pStyle w:val="Heading1"/>
      </w:pPr>
      <w:r>
        <w:t>六、与交通信号控制系统的对应关系（项目化整理，非官方原文）</w:t>
      </w:r>
    </w:p>
    <w:tbl>
      <w:tblPr>
        <w:tblStyle w:val="TableGrid"/>
        <w:tblW w:type="auto" w:w="0"/>
        <w:tblLook w:firstColumn="1" w:firstRow="1" w:lastColumn="0" w:lastRow="0" w:noHBand="0" w:noVBand="1" w:val="04A0"/>
      </w:tblPr>
      <w:tblGrid>
        <w:gridCol w:w="4320"/>
        <w:gridCol w:w="4320"/>
      </w:tblGrid>
      <w:tr>
        <w:tc>
          <w:tcPr>
            <w:tcW w:type="dxa" w:w="4320"/>
          </w:tcPr>
          <w:p>
            <w:r>
              <w:t>制度文件</w:t>
            </w:r>
          </w:p>
        </w:tc>
        <w:tc>
          <w:tcPr>
            <w:tcW w:type="dxa" w:w="4320"/>
          </w:tcPr>
          <w:p>
            <w:r>
              <w:t>可引用的 SP 800-53 思路</w:t>
            </w:r>
          </w:p>
        </w:tc>
      </w:tr>
      <w:tr>
        <w:tc>
          <w:tcPr>
            <w:tcW w:type="dxa" w:w="4320"/>
          </w:tcPr>
          <w:p>
            <w:r>
              <w:t>角色权限表</w:t>
            </w:r>
          </w:p>
        </w:tc>
        <w:tc>
          <w:tcPr>
            <w:tcW w:type="dxa" w:w="4320"/>
          </w:tcPr>
          <w:p>
            <w:r>
              <w:t>引用 AC 和 IA：以角色限制业务操作，以身份认证确认操作主体。</w:t>
            </w:r>
          </w:p>
        </w:tc>
      </w:tr>
      <w:tr>
        <w:tc>
          <w:tcPr>
            <w:tcW w:type="dxa" w:w="4320"/>
          </w:tcPr>
          <w:p>
            <w:r>
              <w:t>用户权限矩阵</w:t>
            </w:r>
          </w:p>
        </w:tc>
        <w:tc>
          <w:tcPr>
            <w:tcW w:type="dxa" w:w="4320"/>
          </w:tcPr>
          <w:p>
            <w:r>
              <w:t>引用 AC：明确角色、资源、操作、权限级别之间的关系。</w:t>
            </w:r>
          </w:p>
        </w:tc>
      </w:tr>
      <w:tr>
        <w:tc>
          <w:tcPr>
            <w:tcW w:type="dxa" w:w="4320"/>
          </w:tcPr>
          <w:p>
            <w:r>
              <w:t>操作审批流程</w:t>
            </w:r>
          </w:p>
        </w:tc>
        <w:tc>
          <w:tcPr>
            <w:tcW w:type="dxa" w:w="4320"/>
          </w:tcPr>
          <w:p>
            <w:r>
              <w:t>引用 AC、CA、RA：对高风险控制动作设置审批、授权和风险评估。</w:t>
            </w:r>
          </w:p>
        </w:tc>
      </w:tr>
      <w:tr>
        <w:tc>
          <w:tcPr>
            <w:tcW w:type="dxa" w:w="4320"/>
          </w:tcPr>
          <w:p>
            <w:r>
              <w:t>人工确认制度</w:t>
            </w:r>
          </w:p>
        </w:tc>
        <w:tc>
          <w:tcPr>
            <w:tcW w:type="dxa" w:w="4320"/>
          </w:tcPr>
          <w:p>
            <w:r>
              <w:t>引用 AC、RA、SI：AI 结果不能自动替代人类责任，高影响动作需人工确认。</w:t>
            </w:r>
          </w:p>
        </w:tc>
      </w:tr>
      <w:tr>
        <w:tc>
          <w:tcPr>
            <w:tcW w:type="dxa" w:w="4320"/>
          </w:tcPr>
          <w:p>
            <w:r>
              <w:t>审计日志制度</w:t>
            </w:r>
          </w:p>
        </w:tc>
        <w:tc>
          <w:tcPr>
            <w:tcW w:type="dxa" w:w="4320"/>
          </w:tcPr>
          <w:p>
            <w:r>
              <w:t>引用 AU：记录操作主体、时间、对象、动作、结果、审批信息和异常标记。</w:t>
            </w:r>
          </w:p>
        </w:tc>
      </w:tr>
      <w:tr>
        <w:tc>
          <w:tcPr>
            <w:tcW w:type="dxa" w:w="4320"/>
          </w:tcPr>
          <w:p>
            <w:r>
              <w:t>越权处理规则</w:t>
            </w:r>
          </w:p>
        </w:tc>
        <w:tc>
          <w:tcPr>
            <w:tcW w:type="dxa" w:w="4320"/>
          </w:tcPr>
          <w:p>
            <w:r>
              <w:t>引用 AC、AU、IR：阻断未授权操作，记录越权事件，并按事件响应流程处置。</w:t>
            </w:r>
          </w:p>
        </w:tc>
      </w:tr>
    </w:tbl>
    <w:p/>
    <w:p>
      <w:pPr>
        <w:pStyle w:val="Heading1"/>
      </w:pPr>
      <w:r>
        <w:t>七、知识库问答可用表述</w:t>
      </w:r>
    </w:p>
    <w:p>
      <w:pPr>
        <w:pStyle w:val="ListBullet"/>
      </w:pPr>
      <w:r>
        <w:t>当用户询问“为什么要记录审计日志”时，可回答：SP 800-53 将 Audit and Accountability 作为重要控制族，审计记录用于支持复核、追踪和问责。</w:t>
      </w:r>
    </w:p>
    <w:p>
      <w:pPr>
        <w:pStyle w:val="ListBullet"/>
      </w:pPr>
      <w:r>
        <w:t>当用户询问“为什么不能登录后直接操作所有功能”时，可回答：SP 800-53 将身份认证和访问控制区分处理，身份通过不等于操作授权通过。</w:t>
      </w:r>
    </w:p>
    <w:p>
      <w:pPr>
        <w:pStyle w:val="ListBullet"/>
      </w:pPr>
      <w:r>
        <w:t>当用户询问“为什么应急绿波需要审批”时，可回答：该操作可能改变道路通行秩序，应作为高影响操作纳入访问控制、风险评估和持续监测。</w:t>
      </w:r>
    </w:p>
    <w:p>
      <w:pPr>
        <w:pStyle w:val="ListBullet"/>
      </w:pPr>
      <w:r>
        <w:t>当用户询问“第三方 AI 或接口为什么也要受控”时，可回答：SP 800-53 的供应链风险管理和系统完整性思路要求外部组件、服务和数据源也进入风险控制范围。</w:t>
      </w:r>
    </w:p>
    <w:p>
      <w:pPr>
        <w:pStyle w:val="Heading1"/>
      </w:pPr>
      <w:r>
        <w:t>八、检索关键词</w:t>
      </w:r>
    </w:p>
    <w:p>
      <w:r>
        <w:t>NIST SP 800-53；安全控制；隐私控制；Access Control；Audit and Accountability；Identification and Authentication；Incident Response；Risk Assessment；System Integrity；权限边界；审计日志；越权处理。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