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NIST AI RMF 人工智能风险管理框架官方资料整理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业务制度与权限边界知识库 / 外部来源整理</w:t>
      </w:r>
    </w:p>
    <w:p/>
    <w:p>
      <w:pPr>
        <w:pStyle w:val="Heading1"/>
      </w:pPr>
      <w:r>
        <w:t>一、来源信息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官方机构</w:t>
            </w:r>
          </w:p>
        </w:tc>
        <w:tc>
          <w:tcPr>
            <w:tcW w:type="dxa" w:w="4320"/>
          </w:tcPr>
          <w:p>
            <w:r>
              <w:t>National Institute of Standards and Technology（NIST） / Information Technology Laboratory（ITL）</w:t>
            </w:r>
          </w:p>
        </w:tc>
      </w:tr>
      <w:tr>
        <w:tc>
          <w:tcPr>
            <w:tcW w:type="dxa" w:w="4320"/>
          </w:tcPr>
          <w:p>
            <w:r>
              <w:t>网页名称</w:t>
            </w:r>
          </w:p>
        </w:tc>
        <w:tc>
          <w:tcPr>
            <w:tcW w:type="dxa" w:w="4320"/>
          </w:tcPr>
          <w:p>
            <w:r>
              <w:t>AI Risk Management Framework</w:t>
            </w:r>
          </w:p>
        </w:tc>
      </w:tr>
      <w:tr>
        <w:tc>
          <w:tcPr>
            <w:tcW w:type="dxa" w:w="4320"/>
          </w:tcPr>
          <w:p>
            <w:r>
              <w:t>官方页面</w:t>
            </w:r>
          </w:p>
        </w:tc>
        <w:tc>
          <w:tcPr>
            <w:tcW w:type="dxa" w:w="4320"/>
          </w:tcPr>
          <w:p>
            <w:r>
              <w:t>https://www.nist.gov/itl/ai-risk-management-framework</w:t>
            </w:r>
          </w:p>
        </w:tc>
      </w:tr>
      <w:tr>
        <w:tc>
          <w:tcPr>
            <w:tcW w:type="dxa" w:w="4320"/>
          </w:tcPr>
          <w:p>
            <w:r>
              <w:t>AI RMF 1.0 DOI</w:t>
            </w:r>
          </w:p>
        </w:tc>
        <w:tc>
          <w:tcPr>
            <w:tcW w:type="dxa" w:w="4320"/>
          </w:tcPr>
          <w:p>
            <w:r>
              <w:t>https://doi.org/10.6028/NIST.AI.100-1</w:t>
            </w:r>
          </w:p>
        </w:tc>
      </w:tr>
      <w:tr>
        <w:tc>
          <w:tcPr>
            <w:tcW w:type="dxa" w:w="4320"/>
          </w:tcPr>
          <w:p>
            <w:r>
              <w:t>发布时间</w:t>
            </w:r>
          </w:p>
        </w:tc>
        <w:tc>
          <w:tcPr>
            <w:tcW w:type="dxa" w:w="4320"/>
          </w:tcPr>
          <w:p>
            <w:r>
              <w:t>AI RMF 1.0 released on January 26, 2023</w:t>
            </w:r>
          </w:p>
        </w:tc>
      </w:tr>
      <w:tr>
        <w:tc>
          <w:tcPr>
            <w:tcW w:type="dxa" w:w="4320"/>
          </w:tcPr>
          <w:p>
            <w:r>
              <w:t>页面动态</w:t>
            </w:r>
          </w:p>
        </w:tc>
        <w:tc>
          <w:tcPr>
            <w:tcW w:type="dxa" w:w="4320"/>
          </w:tcPr>
          <w:p>
            <w:r>
              <w:t>NIST 页面显示 AI RMF 1.0 is being revised；2024-07-26 发布生成式 AI Profile；2026-04-07 发布关键基础设施可信 AI Profile 概念说明。</w:t>
            </w:r>
          </w:p>
        </w:tc>
      </w:tr>
      <w:tr>
        <w:tc>
          <w:tcPr>
            <w:tcW w:type="dxa" w:w="4320"/>
          </w:tcPr>
          <w:p>
            <w:r>
              <w:t>整理日期</w:t>
            </w:r>
          </w:p>
        </w:tc>
        <w:tc>
          <w:tcPr>
            <w:tcW w:type="dxa" w:w="4320"/>
          </w:tcPr>
          <w:p>
            <w:r>
              <w:t>2026-07-10</w:t>
            </w:r>
          </w:p>
        </w:tc>
      </w:tr>
    </w:tbl>
    <w:p/>
    <w:p>
      <w:r>
        <w:t>本文件是对 NIST AI Risk Management Framework 官方网页和 AI RMF 1.0 出版物的知识库化整理，重点服务于本项目中“AI 辅助决策、人工确认、风险治理、权限边界”的制度依据。</w:t>
      </w:r>
    </w:p>
    <w:p>
      <w:pPr>
        <w:pStyle w:val="Heading1"/>
      </w:pPr>
      <w:r>
        <w:t>二、官方资料定位</w:t>
      </w:r>
    </w:p>
    <w:p>
      <w:r>
        <w:t>NIST AI RMF 由 NIST 信息技术实验室 AI 项目牵头，并与公共和私营部门协作形成，目标是帮助组织更好地管理人工智能给个人、组织和社会带来的风险。该框架为自愿使用，旨在提升组织在 AI 产品、服务和系统的设计、开发、使用和评估中纳入可信性考虑的能力。</w:t>
      </w:r>
    </w:p>
    <w:p>
      <w:pPr>
        <w:pStyle w:val="ListBullet"/>
      </w:pPr>
      <w:r>
        <w:t>AI RMF 1.0 于 2023-01-26 发布，形成过程包括征求信息、多个草案、公开评论、研讨会和协作输入。</w:t>
      </w:r>
    </w:p>
    <w:p>
      <w:pPr>
        <w:pStyle w:val="ListBullet"/>
      </w:pPr>
      <w:r>
        <w:t>框架定位为 voluntary、rights-preserving、non-sector-specific、use-case agnostic，适合不同规模、行业和使用场景的组织按需采用。</w:t>
      </w:r>
    </w:p>
    <w:p>
      <w:pPr>
        <w:pStyle w:val="ListBullet"/>
      </w:pPr>
      <w:r>
        <w:t>NIST 同时提供 AI RMF Playbook、AI RMF Roadmap、AI RMF Crosswalk、AIRC 资源中心等配套资源。</w:t>
      </w:r>
    </w:p>
    <w:p>
      <w:pPr>
        <w:pStyle w:val="ListBullet"/>
      </w:pPr>
      <w:r>
        <w:t>官方页面说明 AI RMF 1.0 正在修订，且 NIST 正在扩展面向生成式 AI 和关键基础设施等场景的 profile。</w:t>
      </w:r>
    </w:p>
    <w:p>
      <w:pPr>
        <w:pStyle w:val="Heading1"/>
      </w:pPr>
      <w:r>
        <w:t>三、AI 风险的特点</w:t>
      </w:r>
    </w:p>
    <w:p>
      <w:r>
        <w:t>AI RMF 将 AI 风险视为一种需要结合技术、社会和组织环境理解的风险。AI 系统可能会输出预测、建议或决策，并影响真实或虚拟环境；其风险既可能来自模型本身，也可能来自训练数据、部署环境、人员使用方式、与其他系统的交互和社会背景。</w:t>
      </w:r>
    </w:p>
    <w:p>
      <w:pPr>
        <w:pStyle w:val="ListBullet"/>
      </w:pPr>
      <w:r>
        <w:t>AI 系统可能基于会随时间变化的数据训练或运行，导致功能和可信性出现难以预期的变化。</w:t>
      </w:r>
    </w:p>
    <w:p>
      <w:pPr>
        <w:pStyle w:val="ListBullet"/>
      </w:pPr>
      <w:r>
        <w:t>AI 系统及其部署环境通常较复杂，失败发生时可能难以及时发现和响应。</w:t>
      </w:r>
    </w:p>
    <w:p>
      <w:pPr>
        <w:pStyle w:val="ListBullet"/>
      </w:pPr>
      <w:r>
        <w:t>AI 风险具有社会技术属性，技术因素会与人的行为、组织流程和社会背景相互作用。</w:t>
      </w:r>
    </w:p>
    <w:p>
      <w:pPr>
        <w:pStyle w:val="ListBullet"/>
      </w:pPr>
      <w:r>
        <w:t>AI 风险管理不只减少负面影响，也帮助识别和扩大正面收益。</w:t>
      </w:r>
    </w:p>
    <w:p>
      <w:pPr>
        <w:pStyle w:val="ListBullet"/>
      </w:pPr>
      <w:r>
        <w:t>AI 风险管理需要贯穿设计、开发、部署、使用、评估和监测全过程。</w:t>
      </w:r>
    </w:p>
    <w:p>
      <w:pPr>
        <w:pStyle w:val="Heading1"/>
      </w:pPr>
      <w:r>
        <w:t>四、可信 AI 的七类特征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中文整理</w:t>
            </w:r>
          </w:p>
        </w:tc>
        <w:tc>
          <w:tcPr>
            <w:tcW w:type="dxa" w:w="2880"/>
          </w:tcPr>
          <w:p>
            <w:r>
              <w:t>对本项目的含义</w:t>
            </w:r>
          </w:p>
        </w:tc>
      </w:tr>
      <w:tr>
        <w:tc>
          <w:tcPr>
            <w:tcW w:type="dxa" w:w="2880"/>
          </w:tcPr>
          <w:p>
            <w:r>
              <w:t>Valid and Reliable</w:t>
            </w:r>
          </w:p>
        </w:tc>
        <w:tc>
          <w:tcPr>
            <w:tcW w:type="dxa" w:w="2880"/>
          </w:tcPr>
          <w:p>
            <w:r>
              <w:t>有效且可靠</w:t>
            </w:r>
          </w:p>
        </w:tc>
        <w:tc>
          <w:tcPr>
            <w:tcW w:type="dxa" w:w="2880"/>
          </w:tcPr>
          <w:p>
            <w:r>
              <w:t>AI 给出的信号控制建议应能在数据、算法和业务场景中保持可验证的有效性。</w:t>
            </w:r>
          </w:p>
        </w:tc>
      </w:tr>
      <w:tr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AI 建议不能扩大交通安全风险，尤其不能绕过应急、告警和人工确认边界。</w:t>
            </w:r>
          </w:p>
        </w:tc>
      </w:tr>
      <w:tr>
        <w:tc>
          <w:tcPr>
            <w:tcW w:type="dxa" w:w="2880"/>
          </w:tcPr>
          <w:p>
            <w:r>
              <w:t>Secure and Resilient</w:t>
            </w:r>
          </w:p>
        </w:tc>
        <w:tc>
          <w:tcPr>
            <w:tcW w:type="dxa" w:w="2880"/>
          </w:tcPr>
          <w:p>
            <w:r>
              <w:t>安全且有韧性</w:t>
            </w:r>
          </w:p>
        </w:tc>
        <w:tc>
          <w:tcPr>
            <w:tcW w:type="dxa" w:w="2880"/>
          </w:tcPr>
          <w:p>
            <w:r>
              <w:t>系统应能抵御异常输入、接口故障、数据中断和滥用风险。</w:t>
            </w:r>
          </w:p>
        </w:tc>
      </w:tr>
      <w:tr>
        <w:tc>
          <w:tcPr>
            <w:tcW w:type="dxa" w:w="2880"/>
          </w:tcPr>
          <w:p>
            <w:r>
              <w:t>Accountable and Transparent</w:t>
            </w:r>
          </w:p>
        </w:tc>
        <w:tc>
          <w:tcPr>
            <w:tcW w:type="dxa" w:w="2880"/>
          </w:tcPr>
          <w:p>
            <w:r>
              <w:t>可问责且透明</w:t>
            </w:r>
          </w:p>
        </w:tc>
        <w:tc>
          <w:tcPr>
            <w:tcW w:type="dxa" w:w="2880"/>
          </w:tcPr>
          <w:p>
            <w:r>
              <w:t>AI 建议来源、采纳人、确认过程、执行结果应可追溯。</w:t>
            </w:r>
          </w:p>
        </w:tc>
      </w:tr>
      <w:tr>
        <w:tc>
          <w:tcPr>
            <w:tcW w:type="dxa" w:w="2880"/>
          </w:tcPr>
          <w:p>
            <w:r>
              <w:t>Explainable and Interpretable</w:t>
            </w:r>
          </w:p>
        </w:tc>
        <w:tc>
          <w:tcPr>
            <w:tcW w:type="dxa" w:w="2880"/>
          </w:tcPr>
          <w:p>
            <w:r>
              <w:t>可解释且可理解</w:t>
            </w:r>
          </w:p>
        </w:tc>
        <w:tc>
          <w:tcPr>
            <w:tcW w:type="dxa" w:w="2880"/>
          </w:tcPr>
          <w:p>
            <w:r>
              <w:t>调度员应能理解 AI 为什么提出某个配时、绿波或告警处置建议。</w:t>
            </w:r>
          </w:p>
        </w:tc>
      </w:tr>
      <w:tr>
        <w:tc>
          <w:tcPr>
            <w:tcW w:type="dxa" w:w="2880"/>
          </w:tcPr>
          <w:p>
            <w:r>
              <w:t>Privacy-Enhanced</w:t>
            </w:r>
          </w:p>
        </w:tc>
        <w:tc>
          <w:tcPr>
            <w:tcW w:type="dxa" w:w="2880"/>
          </w:tcPr>
          <w:p>
            <w:r>
              <w:t>隐私增强</w:t>
            </w:r>
          </w:p>
        </w:tc>
        <w:tc>
          <w:tcPr>
            <w:tcW w:type="dxa" w:w="2880"/>
          </w:tcPr>
          <w:p>
            <w:r>
              <w:t>涉及车辆、设备、人员或日志中的个人信息时，应减少不必要处理和暴露。</w:t>
            </w:r>
          </w:p>
        </w:tc>
      </w:tr>
      <w:tr>
        <w:tc>
          <w:tcPr>
            <w:tcW w:type="dxa" w:w="2880"/>
          </w:tcPr>
          <w:p>
            <w:r>
              <w:t>Fair with Harmful Bias Managed</w:t>
            </w:r>
          </w:p>
        </w:tc>
        <w:tc>
          <w:tcPr>
            <w:tcW w:type="dxa" w:w="2880"/>
          </w:tcPr>
          <w:p>
            <w:r>
              <w:t>公平并管理有害偏差</w:t>
            </w:r>
          </w:p>
        </w:tc>
        <w:tc>
          <w:tcPr>
            <w:tcW w:type="dxa" w:w="2880"/>
          </w:tcPr>
          <w:p>
            <w:r>
              <w:t>控制策略不应长期偏向某一路口、方向或区域，需关注不同道路参与者的影响。</w:t>
            </w:r>
          </w:p>
        </w:tc>
      </w:tr>
    </w:tbl>
    <w:p/>
    <w:p>
      <w:pPr>
        <w:pStyle w:val="Heading1"/>
      </w:pPr>
      <w:r>
        <w:t>五、AI RMF Core 四个功能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官方含义整理</w:t>
            </w:r>
          </w:p>
        </w:tc>
        <w:tc>
          <w:tcPr>
            <w:tcW w:type="dxa" w:w="2880"/>
          </w:tcPr>
          <w:p>
            <w:r>
              <w:t>本项目制度落点</w:t>
            </w:r>
          </w:p>
        </w:tc>
      </w:tr>
      <w:tr>
        <w:tc>
          <w:tcPr>
            <w:tcW w:type="dxa" w:w="2880"/>
          </w:tcPr>
          <w:p>
            <w:r>
              <w:t>GOVERN</w:t>
            </w:r>
          </w:p>
        </w:tc>
        <w:tc>
          <w:tcPr>
            <w:tcW w:type="dxa" w:w="2880"/>
          </w:tcPr>
          <w:p>
            <w:r>
              <w:t>治理。建立风险文化、政策、职责、流程和监督机制；该功能贯穿其他功能和 AI 生命周期。</w:t>
            </w:r>
          </w:p>
        </w:tc>
        <w:tc>
          <w:tcPr>
            <w:tcW w:type="dxa" w:w="2880"/>
          </w:tcPr>
          <w:p>
            <w:r>
              <w:t>建立 AI 助手边界、人工确认制度、角色责任、审批规则和日志要求。</w:t>
            </w:r>
          </w:p>
        </w:tc>
      </w:tr>
      <w:tr>
        <w:tc>
          <w:tcPr>
            <w:tcW w:type="dxa" w:w="2880"/>
          </w:tcPr>
          <w:p>
            <w:r>
              <w:t>MAP</w:t>
            </w:r>
          </w:p>
        </w:tc>
        <w:tc>
          <w:tcPr>
            <w:tcW w:type="dxa" w:w="2880"/>
          </w:tcPr>
          <w:p>
            <w:r>
              <w:t>映射。理解 AI 系统上下文、预期用途、相关主体、潜在收益和潜在危害。</w:t>
            </w:r>
          </w:p>
        </w:tc>
        <w:tc>
          <w:tcPr>
            <w:tcW w:type="dxa" w:w="2880"/>
          </w:tcPr>
          <w:p>
            <w:r>
              <w:t>在启动 AI 控制或应急绿波前识别影响范围、道路场景、异常条件和受影响对象。</w:t>
            </w:r>
          </w:p>
        </w:tc>
      </w:tr>
      <w:tr>
        <w:tc>
          <w:tcPr>
            <w:tcW w:type="dxa" w:w="2880"/>
          </w:tcPr>
          <w:p>
            <w:r>
              <w:t>MEASURE</w:t>
            </w:r>
          </w:p>
        </w:tc>
        <w:tc>
          <w:tcPr>
            <w:tcW w:type="dxa" w:w="2880"/>
          </w:tcPr>
          <w:p>
            <w:r>
              <w:t>衡量。选择并应用方法、指标和测试来评估 AI 风险与可信性。</w:t>
            </w:r>
          </w:p>
        </w:tc>
        <w:tc>
          <w:tcPr>
            <w:tcW w:type="dxa" w:w="2880"/>
          </w:tcPr>
          <w:p>
            <w:r>
              <w:t>监测延误、排队长度、误报、漏报、建议采纳率、人工覆盖率和异常回退次数。</w:t>
            </w:r>
          </w:p>
        </w:tc>
      </w:tr>
      <w:tr>
        <w:tc>
          <w:tcPr>
            <w:tcW w:type="dxa" w:w="2880"/>
          </w:tcPr>
          <w:p>
            <w:r>
              <w:t>MANAGE</w:t>
            </w:r>
          </w:p>
        </w:tc>
        <w:tc>
          <w:tcPr>
            <w:tcW w:type="dxa" w:w="2880"/>
          </w:tcPr>
          <w:p>
            <w:r>
              <w:t>管理。根据风险优先级采取响应、缓解、监测、沟通和改进措施。</w:t>
            </w:r>
          </w:p>
        </w:tc>
        <w:tc>
          <w:tcPr>
            <w:tcW w:type="dxa" w:w="2880"/>
          </w:tcPr>
          <w:p>
            <w:r>
              <w:t>对高风险建议设置审批、回退、暂停、复核、复盘和策略更新机制。</w:t>
            </w:r>
          </w:p>
        </w:tc>
      </w:tr>
    </w:tbl>
    <w:p/>
    <w:p>
      <w:r>
        <w:t>AI RMF 说明 GOVERN 是横向贯穿功能，应融入 AI 风险管理全过程；MAP、MEASURE、MANAGE 则可在具体 AI 系统场景和生命周期阶段中应用。</w:t>
      </w:r>
    </w:p>
    <w:p>
      <w:pPr>
        <w:pStyle w:val="Heading1"/>
      </w:pPr>
      <w:r>
        <w:t>六、对本项目“人工确认制度”的支撑</w:t>
      </w:r>
    </w:p>
    <w:p>
      <w:pPr>
        <w:pStyle w:val="ListNumber"/>
      </w:pPr>
      <w:r>
        <w:t>AI 助手应定位为辅助决策工具，不能被视为拥有独立业务授权的操作主体。</w:t>
      </w:r>
    </w:p>
    <w:p>
      <w:pPr>
        <w:pStyle w:val="ListNumber"/>
      </w:pPr>
      <w:r>
        <w:t>AI 输出的建议应进入人工确认流程，高影响操作必须由具备角色权限的人确认。</w:t>
      </w:r>
    </w:p>
    <w:p>
      <w:pPr>
        <w:pStyle w:val="ListNumber"/>
      </w:pPr>
      <w:r>
        <w:t>人工确认不是形式按钮，应包含建议内容、影响范围、风险提示、确认人、确认时间和执行结果。</w:t>
      </w:r>
    </w:p>
    <w:p>
      <w:pPr>
        <w:pStyle w:val="ListNumber"/>
      </w:pPr>
      <w:r>
        <w:t>当 AI 建议与实时告警、系统状态或人工经验冲突时，应优先进入复核或暂停流程。</w:t>
      </w:r>
    </w:p>
    <w:p>
      <w:pPr>
        <w:pStyle w:val="ListNumber"/>
      </w:pPr>
      <w:r>
        <w:t>AI 控制启停、应急绿波创建、恢复普通控制等操作应可追溯，必要时可回退。</w:t>
      </w:r>
    </w:p>
    <w:p>
      <w:pPr>
        <w:pStyle w:val="Heading1"/>
      </w:pPr>
      <w:r>
        <w:t>七、与交通信号控制系统的对应关系（项目化整理，非官方原文）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系统功能</w:t>
            </w:r>
          </w:p>
        </w:tc>
        <w:tc>
          <w:tcPr>
            <w:tcW w:type="dxa" w:w="4320"/>
          </w:tcPr>
          <w:p>
            <w:r>
              <w:t>可引用的 AI RMF 思路</w:t>
            </w:r>
          </w:p>
        </w:tc>
      </w:tr>
      <w:tr>
        <w:tc>
          <w:tcPr>
            <w:tcW w:type="dxa" w:w="4320"/>
          </w:tcPr>
          <w:p>
            <w:r>
              <w:t>AI 智能体问答</w:t>
            </w:r>
          </w:p>
        </w:tc>
        <w:tc>
          <w:tcPr>
            <w:tcW w:type="dxa" w:w="4320"/>
          </w:tcPr>
          <w:p>
            <w:r>
              <w:t>AI 输出需要透明、可解释，并提示其为建议而非最终授权。</w:t>
            </w:r>
          </w:p>
        </w:tc>
      </w:tr>
      <w:tr>
        <w:tc>
          <w:tcPr>
            <w:tcW w:type="dxa" w:w="4320"/>
          </w:tcPr>
          <w:p>
            <w:r>
              <w:t>AI 自适应控制</w:t>
            </w:r>
          </w:p>
        </w:tc>
        <w:tc>
          <w:tcPr>
            <w:tcW w:type="dxa" w:w="4320"/>
          </w:tcPr>
          <w:p>
            <w:r>
              <w:t>启停前应完成风险映射和人工确认，运行中应持续衡量效果。</w:t>
            </w:r>
          </w:p>
        </w:tc>
      </w:tr>
      <w:tr>
        <w:tc>
          <w:tcPr>
            <w:tcW w:type="dxa" w:w="4320"/>
          </w:tcPr>
          <w:p>
            <w:r>
              <w:t>应急绿波任务</w:t>
            </w:r>
          </w:p>
        </w:tc>
        <w:tc>
          <w:tcPr>
            <w:tcW w:type="dxa" w:w="4320"/>
          </w:tcPr>
          <w:p>
            <w:r>
              <w:t>属于高影响场景，应强调安全、可靠、人工确认、执行留痕和事后复盘。</w:t>
            </w:r>
          </w:p>
        </w:tc>
      </w:tr>
      <w:tr>
        <w:tc>
          <w:tcPr>
            <w:tcW w:type="dxa" w:w="4320"/>
          </w:tcPr>
          <w:p>
            <w:r>
              <w:t>告警处置建议</w:t>
            </w:r>
          </w:p>
        </w:tc>
        <w:tc>
          <w:tcPr>
            <w:tcW w:type="dxa" w:w="4320"/>
          </w:tcPr>
          <w:p>
            <w:r>
              <w:t>AI 可辅助分析，但关闭或降级重大告警需要人类责任主体确认。</w:t>
            </w:r>
          </w:p>
        </w:tc>
      </w:tr>
      <w:tr>
        <w:tc>
          <w:tcPr>
            <w:tcW w:type="dxa" w:w="4320"/>
          </w:tcPr>
          <w:p>
            <w:r>
              <w:t>策略优化建议</w:t>
            </w:r>
          </w:p>
        </w:tc>
        <w:tc>
          <w:tcPr>
            <w:tcW w:type="dxa" w:w="4320"/>
          </w:tcPr>
          <w:p>
            <w:r>
              <w:t>应有指标验证和影响评估，不能只凭模型输出直接替换现有策略。</w:t>
            </w:r>
          </w:p>
        </w:tc>
      </w:tr>
      <w:tr>
        <w:tc>
          <w:tcPr>
            <w:tcW w:type="dxa" w:w="4320"/>
          </w:tcPr>
          <w:p>
            <w:r>
              <w:t>日志与复盘</w:t>
            </w:r>
          </w:p>
        </w:tc>
        <w:tc>
          <w:tcPr>
            <w:tcW w:type="dxa" w:w="4320"/>
          </w:tcPr>
          <w:p>
            <w:r>
              <w:t>支持 accountable and transparent，确保后续能解释谁采纳了什么建议以及结果如何。</w:t>
            </w:r>
          </w:p>
        </w:tc>
      </w:tr>
    </w:tbl>
    <w:p/>
    <w:p>
      <w:pPr>
        <w:pStyle w:val="Heading1"/>
      </w:pPr>
      <w:r>
        <w:t>八、知识库问答可用表述</w:t>
      </w:r>
    </w:p>
    <w:p>
      <w:pPr>
        <w:pStyle w:val="ListBullet"/>
      </w:pPr>
      <w:r>
        <w:t>当用户询问“AI 能不能直接控制信号灯”时，可回答：AI RMF 强调 AI 风险治理、可信性和全生命周期管理；在本项目中 AI 应作为建议来源，高影响控制动作需人工确认。</w:t>
      </w:r>
    </w:p>
    <w:p>
      <w:pPr>
        <w:pStyle w:val="ListBullet"/>
      </w:pPr>
      <w:r>
        <w:t>当用户询问“为什么要记录 AI 建议”时，可回答：AI RMF 的可问责和透明要求支持记录建议来源、确认过程和执行结果。</w:t>
      </w:r>
    </w:p>
    <w:p>
      <w:pPr>
        <w:pStyle w:val="ListBullet"/>
      </w:pPr>
      <w:r>
        <w:t>当用户询问“为什么 AI 控制要能暂停或回退”时，可回答：AI 风险可能随数据和场景变化而出现，系统应能管理、缓解和持续监测风险。</w:t>
      </w:r>
    </w:p>
    <w:p>
      <w:pPr>
        <w:pStyle w:val="ListBullet"/>
      </w:pPr>
      <w:r>
        <w:t>当用户询问“AI 公平性与交通有什么关系”时，可回答：长期配时策略可能影响不同方向、区域和道路参与者，需要监测是否形成不合理偏向。</w:t>
      </w:r>
    </w:p>
    <w:p>
      <w:pPr>
        <w:pStyle w:val="Heading1"/>
      </w:pPr>
      <w:r>
        <w:t>九、检索关键词</w:t>
      </w:r>
    </w:p>
    <w:p>
      <w:r>
        <w:t>NIST AI RMF；AI Risk Management Framework；可信 AI；人工确认；AI 治理；AI 风险管理；GOVERN；MAP；MEASURE；MANAGE；可解释性；透明性；可问责；AI 安全；交通 AI。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