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w:t>
      </w:r>
      <w:r>
        <w:rPr>
          <w:b w:val="false"/>
          <w:bCs w:val="false"/>
          <w:u w:val="single"/>
        </w:rPr>
        <w:t>canu+</w:t>
      </w:r>
      <w:r>
        <w:rPr>
          <w:b w:val="false"/>
          <w:bCs w:val="false"/>
          <w:u w:val="single"/>
        </w:rPr>
        <w:t xml:space="preserve">pilon vs reference chromosome - </w:t>
      </w:r>
      <w:r>
        <w:rPr>
          <w:b w:val="false"/>
          <w:bCs w:val="false"/>
          <w:u w:val="single"/>
        </w:rPr>
        <w:t>1</w:t>
      </w:r>
      <w:r>
        <w:rPr>
          <w:b w:val="false"/>
          <w:bCs w:val="false"/>
          <w:u w:val="single"/>
          <w:vertAlign w:val="superscript"/>
        </w:rPr>
        <w:t>st</w:t>
      </w:r>
      <w:r>
        <w:rPr>
          <w:b w:val="false"/>
          <w:bCs w:val="false"/>
          <w:u w:val="single"/>
        </w:rPr>
        <w:t xml:space="preserve"> contig</w:t>
      </w:r>
      <w:r>
        <w:rPr>
          <w:b w:val="false"/>
          <w:bCs w:val="false"/>
          <w:u w:val="single"/>
        </w:rPr>
        <w:t>):</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r>
    </w:p>
    <w:p>
      <w:pPr>
        <w:pStyle w:val="Normal"/>
        <w:rPr>
          <w:u w:val="single"/>
        </w:rPr>
      </w:pPr>
      <w:r>
        <w:rPr>
          <w:b w:val="false"/>
          <w:bCs w:val="false"/>
          <w:u w:val="single"/>
        </w:rPr>
        <w:t>Create the full reference:</w:t>
      </w:r>
    </w:p>
    <w:p>
      <w:pPr>
        <w:pStyle w:val="Normal"/>
        <w:rPr>
          <w:b w:val="false"/>
          <w:b w:val="false"/>
          <w:bCs w:val="false"/>
        </w:rPr>
      </w:pPr>
      <w:r>
        <w:rPr/>
      </w:r>
    </w:p>
    <w:p>
      <w:pPr>
        <w:pStyle w:val="Normal"/>
        <w:rPr/>
      </w:pPr>
      <w:r>
        <w:rPr>
          <w:b w:val="false"/>
          <w:bCs w:val="false"/>
        </w:rPr>
        <w:t>cat *.fasta &gt; the_full_referense.fasta</w:t>
      </w:r>
    </w:p>
    <w:p>
      <w:pPr>
        <w:pStyle w:val="Normal"/>
        <w:rPr>
          <w:b w:val="false"/>
          <w:b w:val="false"/>
          <w:bCs w:val="false"/>
        </w:rPr>
      </w:pPr>
      <w:r>
        <w:rPr/>
      </w:r>
    </w:p>
    <w:p>
      <w:pPr>
        <w:pStyle w:val="Normal"/>
        <w:rPr/>
      </w:pPr>
      <w:r>
        <w:rPr>
          <w:b w:val="false"/>
          <w:bCs w:val="false"/>
          <w:u w:val="single"/>
        </w:rPr>
        <w:t>Compare with quast (</w:t>
      </w:r>
      <w:r>
        <w:rPr>
          <w:b w:val="false"/>
          <w:bCs w:val="false"/>
          <w:u w:val="single"/>
        </w:rPr>
        <w:t>canu+</w:t>
      </w:r>
      <w:r>
        <w:rPr>
          <w:b w:val="false"/>
          <w:bCs w:val="false"/>
          <w:u w:val="single"/>
        </w:rPr>
        <w:t xml:space="preserve">pilon vs reference chromosome, </w:t>
      </w:r>
      <w:r>
        <w:rPr>
          <w:b w:val="false"/>
          <w:bCs w:val="false"/>
          <w:u w:val="single"/>
        </w:rPr>
        <w:t>spades vs reference chromosome</w:t>
      </w:r>
      <w:r>
        <w:rPr>
          <w:b w:val="false"/>
          <w:bCs w:val="false"/>
          <w:u w:val="single"/>
        </w:rPr>
        <w:t>):</w:t>
      </w:r>
    </w:p>
    <w:p>
      <w:pPr>
        <w:pStyle w:val="Normal"/>
        <w:rPr>
          <w:b w:val="false"/>
          <w:b w:val="false"/>
          <w:bCs w:val="false"/>
        </w:rPr>
      </w:pPr>
      <w:r>
        <w:rPr/>
      </w:r>
    </w:p>
    <w:p>
      <w:pPr>
        <w:pStyle w:val="Normal"/>
        <w:rPr/>
      </w:pPr>
      <w:r>
        <w:rPr>
          <w:b w:val="false"/>
          <w:bCs w:val="false"/>
        </w:rPr>
        <w:t>1.</w:t>
      </w:r>
    </w:p>
    <w:p>
      <w:pPr>
        <w:pStyle w:val="Normal"/>
        <w:rPr/>
      </w:pPr>
      <w:r>
        <w:rPr>
          <w:b w:val="false"/>
          <w:bCs w:val="false"/>
        </w:rPr>
        <w:t>quast /home/erik/sweden/courses/2nd_semester/Genome_Analysis/assemblies/canu_assembly_corrected/</w:t>
      </w:r>
      <w:r>
        <w:rPr>
          <w:b w:val="false"/>
          <w:bCs w:val="false"/>
        </w:rPr>
        <w:t>pilon</w:t>
      </w:r>
      <w:r>
        <w:rPr>
          <w:b w:val="false"/>
          <w:bCs w:val="false"/>
        </w:rPr>
        <w:t>.fasta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u w:val="single"/>
        </w:rPr>
        <w:t>Compare with quast (</w:t>
      </w:r>
      <w:r>
        <w:rPr>
          <w:b w:val="false"/>
          <w:bCs w:val="false"/>
          <w:u w:val="single"/>
        </w:rPr>
        <w:t>canu</w:t>
      </w:r>
      <w:r>
        <w:rPr>
          <w:b w:val="false"/>
          <w:bCs w:val="false"/>
          <w:u w:val="single"/>
        </w:rPr>
        <w:t xml:space="preserve"> vs reference chromosome – </w:t>
      </w:r>
      <w:r>
        <w:rPr>
          <w:b w:val="false"/>
          <w:bCs w:val="false"/>
          <w:u w:val="single"/>
        </w:rPr>
        <w:t>all genome</w:t>
      </w:r>
      <w:r>
        <w:rPr>
          <w:b w:val="false"/>
          <w:bCs w:val="false"/>
          <w:u w:val="single"/>
        </w:rPr>
        <w:t>):</w:t>
      </w:r>
    </w:p>
    <w:p>
      <w:pPr>
        <w:pStyle w:val="Normal"/>
        <w:rPr>
          <w:b w:val="false"/>
          <w:b w:val="false"/>
          <w:bCs w:val="false"/>
        </w:rPr>
      </w:pPr>
      <w:r>
        <w:rPr/>
      </w:r>
    </w:p>
    <w:p>
      <w:pPr>
        <w:pStyle w:val="Normal"/>
        <w:rPr>
          <w:b w:val="false"/>
          <w:b w:val="false"/>
          <w:bCs w:val="fals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bookmarkStart w:id="0" w:name="main_report_table"/>
      <w:bookmarkStart w:id="1" w:name="main_report_table"/>
      <w:bookmarkEnd w:id="1"/>
      <w:r>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20"/>
        <w:gridCol w:w="950"/>
      </w:tblGrid>
      <w:tr>
        <w:trPr>
          <w:tblHeader w:val="true"/>
        </w:trPr>
        <w:tc>
          <w:tcPr>
            <w:tcW w:w="2120"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20"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r>
    </w:p>
    <w:tbl>
      <w:tblPr>
        <w:tblW w:w="3801" w:type="dxa"/>
        <w:jc w:val="left"/>
        <w:tblInd w:w="0" w:type="dxa"/>
        <w:tblBorders/>
        <w:tblCellMar>
          <w:top w:w="28" w:type="dxa"/>
          <w:left w:w="28" w:type="dxa"/>
          <w:bottom w:w="28" w:type="dxa"/>
          <w:right w:w="28" w:type="dxa"/>
        </w:tblCellMar>
      </w:tblPr>
      <w:tblGrid>
        <w:gridCol w:w="2870"/>
        <w:gridCol w:w="931"/>
      </w:tblGrid>
      <w:tr>
        <w:trPr/>
        <w:tc>
          <w:tcPr>
            <w:tcW w:w="2870" w:type="dxa"/>
            <w:tcBorders/>
            <w:shd w:fill="auto" w:val="clear"/>
            <w:vAlign w:val="center"/>
          </w:tcPr>
          <w:p>
            <w:pPr>
              <w:pStyle w:val="TableContents"/>
              <w:rPr/>
            </w:pPr>
            <w:r>
              <w:rPr/>
              <w:t>Misassemblies</w:t>
            </w:r>
          </w:p>
        </w:tc>
        <w:tc>
          <w:tcPr>
            <w:tcW w:w="93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1"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1"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1"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1"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1"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1"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1"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1"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1"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1"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1" w:type="dxa"/>
            <w:tcBorders/>
            <w:shd w:fill="auto" w:val="clear"/>
            <w:vAlign w:val="center"/>
          </w:tcPr>
          <w:p>
            <w:pPr>
              <w:pStyle w:val="TableContents"/>
              <w:rPr/>
            </w:pPr>
            <w:r>
              <w:rPr/>
              <w:t>2992688</w:t>
            </w:r>
          </w:p>
        </w:tc>
      </w:tr>
    </w:tbl>
    <w:p>
      <w:pPr>
        <w:pStyle w:val="Normal"/>
        <w:rPr>
          <w:b w:val="false"/>
          <w:b w:val="false"/>
          <w:bCs w:val="false"/>
        </w:rPr>
      </w:pPr>
      <w:r>
        <w:rPr/>
      </w:r>
    </w:p>
    <w:p>
      <w:pPr>
        <w:pStyle w:val="Normal"/>
        <w:rPr>
          <w:b w:val="false"/>
          <w:b w:val="false"/>
          <w:bCs w:val="false"/>
        </w:rPr>
      </w:pPr>
      <w:r>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r>
    </w:p>
    <w:p>
      <w:pPr>
        <w:pStyle w:val="Normal"/>
        <w:numPr>
          <w:ilvl w:val="0"/>
          <w:numId w:val="3"/>
        </w:numPr>
        <w:rPr/>
      </w:pPr>
      <w:r>
        <w:rPr>
          <w:b w:val="false"/>
          <w:bCs w:val="false"/>
        </w:rPr>
        <w:t xml:space="preserve">tig00000025_pilon (40017bp) </w:t>
      </w:r>
      <w:r>
        <w:rPr>
          <w:b w:val="false"/>
          <w:bCs w:val="false"/>
        </w:rPr>
        <w:t>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pPr>
      <w:r>
        <w:rPr>
          <w:b w:val="false"/>
          <w:bCs w:val="false"/>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rPr>
          <w:b w:val="false"/>
          <w:b w:val="false"/>
          <w:bCs w:val="false"/>
        </w:rPr>
      </w:pPr>
      <w:r>
        <w:rPr/>
      </w:r>
    </w:p>
    <w:p>
      <w:pPr>
        <w:pStyle w:val="Normal"/>
        <w:rPr/>
      </w:pPr>
      <w:r>
        <w:rPr>
          <w:b w:val="false"/>
          <w:bCs w:val="false"/>
        </w:rPr>
        <w:t>H</w:t>
      </w:r>
      <w:r>
        <w:rPr>
          <w:b w:val="false"/>
          <w:bCs w:val="false"/>
        </w:rPr>
        <w:t>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r>
    </w:p>
    <w:p>
      <w:pPr>
        <w:pStyle w:val="Normal"/>
        <w:rPr/>
      </w:pPr>
      <w:r>
        <w:rPr>
          <w:b w:val="false"/>
          <w:bCs w:val="false"/>
          <w:u w:val="single"/>
        </w:rPr>
        <w:t xml:space="preserve">Compare with quast (spades vs reference chromosome – </w:t>
      </w:r>
      <w:r>
        <w:rPr>
          <w:b w:val="false"/>
          <w:bCs w:val="false"/>
          <w:u w:val="single"/>
        </w:rPr>
        <w:t>all genome</w:t>
      </w:r>
      <w:r>
        <w:rPr>
          <w:b w:val="false"/>
          <w:bCs w:val="false"/>
          <w:u w:val="single"/>
        </w:rPr>
        <w:t>):</w:t>
      </w:r>
    </w:p>
    <w:p>
      <w:pPr>
        <w:pStyle w:val="Normal"/>
        <w:rPr>
          <w:b w:val="false"/>
          <w:b w:val="false"/>
          <w:bCs w:val="false"/>
        </w:rPr>
      </w:pPr>
      <w:r>
        <w:rPr/>
      </w:r>
    </w:p>
    <w:p>
      <w:pPr>
        <w:pStyle w:val="Normal"/>
        <w:rPr/>
      </w:pPr>
      <w:r>
        <w:rPr>
          <w:b w:val="false"/>
          <w:bCs w:val="false"/>
        </w:rPr>
        <w:t xml:space="preserve">2. </w:t>
      </w:r>
      <w:r>
        <w:rPr>
          <w:b w:val="false"/>
          <w:bCs w:val="false"/>
        </w:rPr>
        <w:t>quast /home/erik/sweden/courses/2nd_semester/Genome_Analysis/assemblies/</w:t>
      </w:r>
      <w:r>
        <w:rPr>
          <w:b w:val="false"/>
          <w:bCs w:val="false"/>
        </w:rPr>
        <w:t>spades_assembly</w:t>
      </w:r>
      <w:r>
        <w:rPr>
          <w:b w:val="false"/>
          <w:bCs w:val="false"/>
        </w:rPr>
        <w:t>/contigs_spades.fasta -r /home/erik/sweden/courses/2nd_semester/Genome_Analysis/reference/the_full_reference.fasta -o quast_comparison_</w:t>
      </w:r>
      <w:r>
        <w:rPr>
          <w:b w:val="false"/>
          <w:bCs w:val="false"/>
        </w:rPr>
        <w:t>spades</w:t>
      </w:r>
      <w:r>
        <w:rPr>
          <w:b w:val="false"/>
          <w:bCs w:val="false"/>
        </w:rPr>
        <w:t>_vs_reference_chromosome</w:t>
      </w:r>
    </w:p>
    <w:p>
      <w:pPr>
        <w:pStyle w:val="Normal"/>
        <w:rPr>
          <w:b w:val="false"/>
          <w:b w:val="false"/>
          <w:bCs w:val="false"/>
        </w:rPr>
      </w:pPr>
      <w:r>
        <w:rPr/>
      </w:r>
    </w:p>
    <w:p>
      <w:pPr>
        <w:pStyle w:val="Normal"/>
        <w:rPr>
          <w:b w:val="false"/>
          <w:b w:val="false"/>
          <w:bCs w:val="fals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bookmarkStart w:id="6" w:name="main_report_table1"/>
      <w:bookmarkStart w:id="7" w:name="main_report_table1"/>
      <w:bookmarkEnd w:id="7"/>
      <w:r>
        <w:rPr/>
      </w:r>
    </w:p>
    <w:tbl>
      <w:tblPr>
        <w:tblW w:w="3051" w:type="dxa"/>
        <w:jc w:val="left"/>
        <w:tblInd w:w="0" w:type="dxa"/>
        <w:tblBorders/>
        <w:tblCellMar>
          <w:top w:w="28" w:type="dxa"/>
          <w:left w:w="28" w:type="dxa"/>
          <w:bottom w:w="28" w:type="dxa"/>
          <w:right w:w="28" w:type="dxa"/>
        </w:tblCellMar>
      </w:tblPr>
      <w:tblGrid>
        <w:gridCol w:w="2120"/>
        <w:gridCol w:w="931"/>
      </w:tblGrid>
      <w:tr>
        <w:trPr/>
        <w:tc>
          <w:tcPr>
            <w:tcW w:w="2120" w:type="dxa"/>
            <w:tcBorders/>
            <w:shd w:fill="auto" w:val="clear"/>
            <w:vAlign w:val="center"/>
          </w:tcPr>
          <w:p>
            <w:pPr>
              <w:pStyle w:val="TableContents"/>
              <w:rPr/>
            </w:pPr>
            <w:r>
              <w:rPr/>
              <w:t>Genome fraction (%)</w:t>
            </w:r>
          </w:p>
        </w:tc>
        <w:tc>
          <w:tcPr>
            <w:tcW w:w="931"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1"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1"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1"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1"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1" w:type="dxa"/>
            <w:tcBorders/>
            <w:shd w:fill="auto" w:val="clear"/>
            <w:vAlign w:val="center"/>
          </w:tcPr>
          <w:p>
            <w:pPr>
              <w:pStyle w:val="TableContents"/>
              <w:rPr/>
            </w:pPr>
            <w:r>
              <w:rPr/>
              <w:t>1</w:t>
            </w:r>
          </w:p>
        </w:tc>
      </w:tr>
    </w:tbl>
    <w:p>
      <w:pPr>
        <w:pStyle w:val="Normal"/>
        <w:rPr>
          <w:b/>
          <w:b/>
          <w:bCs/>
        </w:rPr>
      </w:pPr>
      <w:bookmarkStart w:id="8" w:name="main_report_table2"/>
      <w:bookmarkStart w:id="9" w:name="group_2"/>
      <w:bookmarkStart w:id="10" w:name="main_report_table2"/>
      <w:bookmarkStart w:id="11" w:name="group_2"/>
      <w:bookmarkEnd w:id="10"/>
      <w:bookmarkEnd w:id="11"/>
      <w:r>
        <w:rPr/>
      </w:r>
    </w:p>
    <w:tbl>
      <w:tblPr>
        <w:tblW w:w="3801" w:type="dxa"/>
        <w:jc w:val="left"/>
        <w:tblInd w:w="0" w:type="dxa"/>
        <w:tblBorders/>
        <w:tblCellMar>
          <w:top w:w="28" w:type="dxa"/>
          <w:left w:w="28" w:type="dxa"/>
          <w:bottom w:w="28" w:type="dxa"/>
          <w:right w:w="28" w:type="dxa"/>
        </w:tblCellMar>
      </w:tblPr>
      <w:tblGrid>
        <w:gridCol w:w="2870"/>
        <w:gridCol w:w="931"/>
      </w:tblGrid>
      <w:tr>
        <w:trPr/>
        <w:tc>
          <w:tcPr>
            <w:tcW w:w="2870" w:type="dxa"/>
            <w:tcBorders/>
            <w:shd w:fill="auto" w:val="clear"/>
            <w:vAlign w:val="center"/>
          </w:tcPr>
          <w:p>
            <w:pPr>
              <w:pStyle w:val="TableContents"/>
              <w:rPr/>
            </w:pPr>
            <w:r>
              <w:rPr/>
              <w:t>Misassemblies</w:t>
            </w:r>
          </w:p>
        </w:tc>
        <w:tc>
          <w:tcPr>
            <w:tcW w:w="93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1" w:type="dxa"/>
            <w:tcBorders/>
            <w:shd w:fill="auto" w:val="clear"/>
            <w:vAlign w:val="center"/>
          </w:tcPr>
          <w:p>
            <w:pPr>
              <w:pStyle w:val="TableContents"/>
              <w:rPr/>
            </w:pPr>
            <w:r>
              <w:rPr/>
              <w:t>3</w:t>
            </w:r>
          </w:p>
        </w:tc>
      </w:tr>
      <w:tr>
        <w:trPr/>
        <w:tc>
          <w:tcPr>
            <w:tcW w:w="2870" w:type="dxa"/>
            <w:tcBorders/>
            <w:shd w:fill="auto" w:val="clear"/>
            <w:vAlign w:val="center"/>
          </w:tcPr>
          <w:p>
            <w:pPr>
              <w:pStyle w:val="TableContents"/>
              <w:rPr/>
            </w:pPr>
            <w:r>
              <w:rPr/>
              <w:t>Misassembled contigs length</w:t>
            </w:r>
          </w:p>
        </w:tc>
        <w:tc>
          <w:tcPr>
            <w:tcW w:w="931" w:type="dxa"/>
            <w:tcBorders/>
            <w:shd w:fill="auto" w:val="clear"/>
            <w:vAlign w:val="center"/>
          </w:tcPr>
          <w:p>
            <w:pPr>
              <w:pStyle w:val="TableContents"/>
              <w:rPr/>
            </w:pPr>
            <w:bookmarkStart w:id="12" w:name="group_4"/>
            <w:bookmarkEnd w:id="12"/>
            <w:r>
              <w:rPr/>
              <w:t>2816937</w:t>
            </w:r>
          </w:p>
        </w:tc>
      </w:tr>
      <w:tr>
        <w:trPr/>
        <w:tc>
          <w:tcPr>
            <w:tcW w:w="2870" w:type="dxa"/>
            <w:tcBorders/>
            <w:shd w:fill="auto" w:val="clear"/>
            <w:vAlign w:val="center"/>
          </w:tcPr>
          <w:p>
            <w:pPr>
              <w:pStyle w:val="TableContents"/>
              <w:rPr/>
            </w:pPr>
            <w:r>
              <w:rPr/>
            </w:r>
          </w:p>
          <w:p>
            <w:pPr>
              <w:pStyle w:val="TableContents"/>
              <w:rPr/>
            </w:pPr>
            <w:r>
              <w:rPr/>
              <w:t>Mismatches</w:t>
            </w:r>
          </w:p>
        </w:tc>
        <w:tc>
          <w:tcPr>
            <w:tcW w:w="93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1" w:type="dxa"/>
            <w:tcBorders/>
            <w:shd w:fill="auto" w:val="clear"/>
            <w:vAlign w:val="center"/>
          </w:tcPr>
          <w:p>
            <w:pPr>
              <w:pStyle w:val="TableContents"/>
              <w:rPr/>
            </w:pPr>
            <w:r>
              <w:rPr/>
              <w:t>29.97</w:t>
            </w:r>
          </w:p>
        </w:tc>
      </w:tr>
      <w:tr>
        <w:trPr/>
        <w:tc>
          <w:tcPr>
            <w:tcW w:w="2870" w:type="dxa"/>
            <w:tcBorders/>
            <w:shd w:fill="auto" w:val="clear"/>
            <w:vAlign w:val="center"/>
          </w:tcPr>
          <w:p>
            <w:pPr>
              <w:pStyle w:val="TableContents"/>
              <w:rPr/>
            </w:pPr>
            <w:r>
              <w:rPr/>
              <w:t># indels per 100 kbp</w:t>
            </w:r>
          </w:p>
        </w:tc>
        <w:tc>
          <w:tcPr>
            <w:tcW w:w="931" w:type="dxa"/>
            <w:tcBorders/>
            <w:shd w:fill="auto" w:val="clear"/>
            <w:vAlign w:val="center"/>
          </w:tcPr>
          <w:p>
            <w:pPr>
              <w:pStyle w:val="TableContents"/>
              <w:rPr/>
            </w:pPr>
            <w:r>
              <w:rPr/>
              <w:t>3.73</w:t>
            </w:r>
          </w:p>
        </w:tc>
      </w:tr>
      <w:tr>
        <w:trPr/>
        <w:tc>
          <w:tcPr>
            <w:tcW w:w="2870" w:type="dxa"/>
            <w:tcBorders/>
            <w:shd w:fill="auto" w:val="clear"/>
            <w:vAlign w:val="center"/>
          </w:tcPr>
          <w:p>
            <w:pPr>
              <w:pStyle w:val="TableContents"/>
              <w:rPr/>
            </w:pPr>
            <w:r>
              <w:rPr/>
              <w:t># N's per 100 kbp</w:t>
            </w:r>
          </w:p>
        </w:tc>
        <w:tc>
          <w:tcPr>
            <w:tcW w:w="931" w:type="dxa"/>
            <w:tcBorders/>
            <w:shd w:fill="auto" w:val="clear"/>
            <w:vAlign w:val="center"/>
          </w:tcPr>
          <w:p>
            <w:pPr>
              <w:pStyle w:val="TableContents"/>
              <w:rPr/>
            </w:pPr>
            <w:bookmarkStart w:id="13" w:name="group_5"/>
            <w:bookmarkEnd w:id="13"/>
            <w:r>
              <w:rPr/>
              <w:t>0</w:t>
            </w:r>
          </w:p>
        </w:tc>
      </w:tr>
      <w:tr>
        <w:trPr/>
        <w:tc>
          <w:tcPr>
            <w:tcW w:w="2870" w:type="dxa"/>
            <w:tcBorders/>
            <w:shd w:fill="auto" w:val="clear"/>
            <w:vAlign w:val="center"/>
          </w:tcPr>
          <w:p>
            <w:pPr>
              <w:pStyle w:val="TableContents"/>
              <w:rPr/>
            </w:pPr>
            <w:r>
              <w:rPr/>
            </w:r>
          </w:p>
          <w:p>
            <w:pPr>
              <w:pStyle w:val="TableContents"/>
              <w:rPr/>
            </w:pPr>
            <w:r>
              <w:rPr/>
              <w:t>Statistics without reference</w:t>
            </w:r>
          </w:p>
        </w:tc>
        <w:tc>
          <w:tcPr>
            <w:tcW w:w="93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1" w:type="dxa"/>
            <w:tcBorders/>
            <w:shd w:fill="auto" w:val="clear"/>
            <w:vAlign w:val="center"/>
          </w:tcPr>
          <w:p>
            <w:pPr>
              <w:pStyle w:val="TableContents"/>
              <w:rPr>
                <w:u w:val="single"/>
              </w:rPr>
            </w:pPr>
            <w:r>
              <w:rPr>
                <w:u w:val="single"/>
              </w:rPr>
              <w:t>16</w:t>
            </w:r>
          </w:p>
        </w:tc>
      </w:tr>
      <w:tr>
        <w:trPr/>
        <w:tc>
          <w:tcPr>
            <w:tcW w:w="2870" w:type="dxa"/>
            <w:tcBorders/>
            <w:shd w:fill="auto" w:val="clear"/>
            <w:vAlign w:val="center"/>
          </w:tcPr>
          <w:p>
            <w:pPr>
              <w:pStyle w:val="TableContents"/>
              <w:rPr/>
            </w:pPr>
            <w:r>
              <w:rPr/>
              <w:t>Largest contig</w:t>
            </w:r>
          </w:p>
        </w:tc>
        <w:tc>
          <w:tcPr>
            <w:tcW w:w="931" w:type="dxa"/>
            <w:tcBorders/>
            <w:shd w:fill="auto" w:val="clear"/>
            <w:vAlign w:val="center"/>
          </w:tcPr>
          <w:p>
            <w:pPr>
              <w:pStyle w:val="TableContents"/>
              <w:rPr/>
            </w:pPr>
            <w:r>
              <w:rPr/>
              <w:t>2765031</w:t>
            </w:r>
          </w:p>
        </w:tc>
      </w:tr>
      <w:tr>
        <w:trPr/>
        <w:tc>
          <w:tcPr>
            <w:tcW w:w="2870" w:type="dxa"/>
            <w:tcBorders/>
            <w:shd w:fill="auto" w:val="clear"/>
            <w:vAlign w:val="center"/>
          </w:tcPr>
          <w:p>
            <w:pPr>
              <w:pStyle w:val="TableContents"/>
              <w:rPr/>
            </w:pPr>
            <w:r>
              <w:rPr/>
              <w:t>Total length</w:t>
            </w:r>
          </w:p>
        </w:tc>
        <w:tc>
          <w:tcPr>
            <w:tcW w:w="931" w:type="dxa"/>
            <w:tcBorders/>
            <w:shd w:fill="auto" w:val="clear"/>
            <w:vAlign w:val="center"/>
          </w:tcPr>
          <w:p>
            <w:pPr>
              <w:pStyle w:val="TableContents"/>
              <w:rPr/>
            </w:pPr>
            <w:r>
              <w:rPr/>
              <w:t>3146525</w:t>
            </w:r>
          </w:p>
        </w:tc>
      </w:tr>
      <w:tr>
        <w:trPr/>
        <w:tc>
          <w:tcPr>
            <w:tcW w:w="2870" w:type="dxa"/>
            <w:tcBorders/>
            <w:shd w:fill="auto" w:val="clear"/>
            <w:vAlign w:val="center"/>
          </w:tcPr>
          <w:p>
            <w:pPr>
              <w:pStyle w:val="TableContents"/>
              <w:rPr/>
            </w:pPr>
            <w:r>
              <w:rPr/>
              <w:t>Total length (&gt;= 1000 bp)</w:t>
            </w:r>
          </w:p>
        </w:tc>
        <w:tc>
          <w:tcPr>
            <w:tcW w:w="931" w:type="dxa"/>
            <w:tcBorders/>
            <w:shd w:fill="auto" w:val="clear"/>
            <w:vAlign w:val="center"/>
          </w:tcPr>
          <w:p>
            <w:pPr>
              <w:pStyle w:val="TableContents"/>
              <w:rPr/>
            </w:pPr>
            <w:r>
              <w:rPr/>
              <w:t>3145695</w:t>
            </w:r>
          </w:p>
        </w:tc>
      </w:tr>
      <w:tr>
        <w:trPr/>
        <w:tc>
          <w:tcPr>
            <w:tcW w:w="2870" w:type="dxa"/>
            <w:tcBorders/>
            <w:shd w:fill="auto" w:val="clear"/>
            <w:vAlign w:val="center"/>
          </w:tcPr>
          <w:p>
            <w:pPr>
              <w:pStyle w:val="TableContents"/>
              <w:rPr/>
            </w:pPr>
            <w:r>
              <w:rPr/>
              <w:t>Total length (&gt;= 10000 bp)</w:t>
            </w:r>
          </w:p>
        </w:tc>
        <w:tc>
          <w:tcPr>
            <w:tcW w:w="931" w:type="dxa"/>
            <w:tcBorders/>
            <w:shd w:fill="auto" w:val="clear"/>
            <w:vAlign w:val="center"/>
          </w:tcPr>
          <w:p>
            <w:pPr>
              <w:pStyle w:val="TableContents"/>
              <w:rPr/>
            </w:pPr>
            <w:r>
              <w:rPr/>
              <w:t>3094039</w:t>
            </w:r>
          </w:p>
        </w:tc>
      </w:tr>
      <w:tr>
        <w:trPr/>
        <w:tc>
          <w:tcPr>
            <w:tcW w:w="2870" w:type="dxa"/>
            <w:tcBorders/>
            <w:shd w:fill="auto" w:val="clear"/>
            <w:vAlign w:val="center"/>
          </w:tcPr>
          <w:p>
            <w:pPr>
              <w:pStyle w:val="TableContents"/>
              <w:rPr/>
            </w:pPr>
            <w:r>
              <w:rPr/>
              <w:t>Total length (&gt;= 50000 bp)</w:t>
            </w:r>
          </w:p>
        </w:tc>
        <w:tc>
          <w:tcPr>
            <w:tcW w:w="931" w:type="dxa"/>
            <w:tcBorders/>
            <w:shd w:fill="auto" w:val="clear"/>
            <w:vAlign w:val="center"/>
          </w:tcPr>
          <w:p>
            <w:pPr>
              <w:pStyle w:val="TableContents"/>
              <w:rPr/>
            </w:pPr>
            <w:r>
              <w:rPr/>
              <w:t>3094039</w:t>
            </w:r>
          </w:p>
        </w:tc>
      </w:tr>
    </w:tbl>
    <w:p>
      <w:pPr>
        <w:pStyle w:val="Normal"/>
        <w:rPr>
          <w:b/>
          <w:b/>
          <w:bCs/>
        </w:rPr>
      </w:pPr>
      <w:r>
        <w:rPr/>
      </w:r>
    </w:p>
    <w:p>
      <w:pPr>
        <w:pStyle w:val="Normal"/>
        <w:rPr>
          <w:b w:val="false"/>
          <w:b w:val="false"/>
          <w:bCs w:val="false"/>
        </w:rPr>
      </w:pPr>
      <w:r>
        <w:rPr>
          <w:b/>
          <w:bCs/>
        </w:rPr>
        <w:t>Conclusion</w:t>
      </w:r>
      <w:r>
        <w:rPr>
          <w:b w:val="false"/>
          <w:bCs w:val="false"/>
        </w:rPr>
        <w:t xml:space="preserve">: </w:t>
      </w:r>
      <w:r>
        <w:rPr>
          <w:b w:val="false"/>
          <w:bCs w:val="false"/>
        </w:rPr>
        <w:t xml:space="preserve">Even though the number of contigs is higher (16 vs 9) </w:t>
      </w:r>
      <w:r>
        <w:rPr>
          <w:b w:val="false"/>
          <w:bCs w:val="false"/>
        </w:rPr>
        <w:t>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b w:val="false"/>
          <w:b w:val="false"/>
          <w:bCs w:val="false"/>
        </w:rPr>
      </w:pPr>
      <w:r>
        <w:rPr>
          <w:b w:val="false"/>
          <w:bCs w:val="false"/>
        </w:rPr>
        <w:t>NODE_3_length_64343_cov_75.9457 (64343bp) (the 3</w:t>
      </w:r>
      <w:r>
        <w:rPr>
          <w:b w:val="false"/>
          <w:bCs w:val="false"/>
          <w:vertAlign w:val="superscript"/>
        </w:rPr>
        <w:t>rd</w:t>
      </w:r>
      <w:r>
        <w:rPr>
          <w:b w:val="false"/>
          <w:bCs w:val="false"/>
        </w:rPr>
        <w:t xml:space="preserve"> largest contig) </w:t>
      </w:r>
      <w:r>
        <w:rPr>
          <w:b w:val="false"/>
          <w:bCs w:val="false"/>
        </w:rPr>
        <w:t>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b w:val="false"/>
          <w:b w:val="false"/>
          <w:bCs w:val="false"/>
        </w:rPr>
      </w:pPr>
      <w:r>
        <w:rPr>
          <w:b w:val="false"/>
          <w:bCs w:val="false"/>
        </w:rPr>
        <w:t>prokka ~/ga_course/canu_pilon_assembly_110419.fasta --outdir prokka_for_canu_gff --plasmid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494</TotalTime>
  <Application>LibreOffice/5.4.6.2$Linux_X86_64 LibreOffice_project/40m0$Build-2</Application>
  <Pages>8</Pages>
  <Words>919</Words>
  <Characters>7476</Characters>
  <CharactersWithSpaces>8221</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2019-04-11T16:00:36Z</dcterms:modified>
  <cp:revision>61</cp:revision>
  <dc:subject/>
  <dc:title/>
</cp:coreProperties>
</file>