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w:t>
      </w:r>
      <w:r>
        <w:rPr>
          <w:b w:val="false"/>
          <w:bCs w:val="false"/>
        </w:rPr>
        <w:t>canu</w:t>
      </w:r>
      <w:r>
        <w:rPr>
          <w:b w:val="false"/>
          <w:bCs w:val="false"/>
        </w:rPr>
        <w:t>_vs_</w:t>
      </w:r>
      <w:r>
        <w:rPr>
          <w:b w:val="false"/>
          <w:bCs w:val="false"/>
        </w:rPr>
        <w:t>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tbl>
      <w:tblPr>
        <w:tblW w:w="4034" w:type="dxa"/>
        <w:jc w:val="left"/>
        <w:tblInd w:w="0" w:type="dxa"/>
        <w:tblBorders/>
        <w:tblCellMar>
          <w:top w:w="28" w:type="dxa"/>
          <w:left w:w="28" w:type="dxa"/>
          <w:bottom w:w="28" w:type="dxa"/>
          <w:right w:w="28" w:type="dxa"/>
        </w:tblCellMar>
      </w:tblPr>
      <w:tblGrid>
        <w:gridCol w:w="2120"/>
        <w:gridCol w:w="1914"/>
      </w:tblGrid>
      <w:tr>
        <w:trPr>
          <w:tblHeader w:val="true"/>
        </w:trPr>
        <w:tc>
          <w:tcPr>
            <w:tcW w:w="2120"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20"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group_2"/>
      <w:bookmarkStart w:id="18" w:name="main_report_table2"/>
      <w:bookmarkStart w:id="19" w:name="group_2"/>
      <w:bookmarkStart w:id="20" w:name="main_report_table2"/>
      <w:bookmarkEnd w:id="19"/>
      <w:bookmarkEnd w:id="20"/>
      <w:r>
        <w:rPr>
          <w:b/>
          <w:bCs/>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3</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21" w:name="group_4"/>
            <w:bookmarkEnd w:id="21"/>
            <w:r>
              <w:rPr/>
              <w:t>2816937</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29.97</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3.73</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bookmarkStart w:id="22" w:name="group_5"/>
            <w:bookmarkEnd w:id="22"/>
            <w:r>
              <w:rPr/>
              <w:t>0</w:t>
            </w:r>
          </w:p>
        </w:tc>
      </w:tr>
      <w:tr>
        <w:trPr/>
        <w:tc>
          <w:tcPr>
            <w:tcW w:w="2870" w:type="dxa"/>
            <w:tcBorders/>
            <w:shd w:fill="auto" w:val="clear"/>
            <w:vAlign w:val="center"/>
          </w:tcPr>
          <w:p>
            <w:pPr>
              <w:pStyle w:val="TableContents"/>
              <w:rPr/>
            </w:pPr>
            <w:r>
              <w:rPr/>
            </w:r>
          </w:p>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16</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2765031</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3146525</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3145695</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3094039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quast /home/erik/sweden/courses/2nd_semester/Genome_Analysis/assemblies/spades_assembly/</w:t>
      </w:r>
      <w:r>
        <w:rPr>
          <w:b w:val="false"/>
          <w:bCs w:val="false"/>
        </w:rPr>
        <w:t>NODE_3.fasta</w:t>
      </w:r>
      <w:r>
        <w:rPr>
          <w:b w:val="false"/>
          <w:bCs w:val="false"/>
        </w:rPr>
        <w:t xml:space="preserve"> -r /home/erik/sweden/courses/2nd_semester/Genome_Analysis/reference/plasmidpl6_sequence.fasta -o quast_comparison_spades_vs_</w:t>
      </w:r>
      <w:r>
        <w:rPr>
          <w:b w:val="false"/>
          <w:bCs w:val="false"/>
        </w:rPr>
        <w:t>plasmid6</w:t>
      </w:r>
    </w:p>
    <w:p>
      <w:pPr>
        <w:pStyle w:val="Normal"/>
        <w:rPr>
          <w:b w:val="false"/>
          <w:b w:val="false"/>
          <w:bCs w:val="false"/>
        </w:rPr>
      </w:pPr>
      <w:r>
        <w:rPr/>
      </w:r>
    </w:p>
    <w:p>
      <w:pPr>
        <w:pStyle w:val="Normal"/>
        <w:rPr>
          <w:b w:val="false"/>
          <w:b w:val="false"/>
          <w:bCs w:val="false"/>
        </w:rPr>
      </w:pPr>
      <w:bookmarkStart w:id="23" w:name="main_report_table3"/>
      <w:bookmarkStart w:id="24" w:name="main_report_table3"/>
      <w:bookmarkEnd w:id="24"/>
      <w:r>
        <w:rPr/>
      </w:r>
    </w:p>
    <w:tbl>
      <w:tblPr>
        <w:tblW w:w="3872" w:type="dxa"/>
        <w:jc w:val="left"/>
        <w:tblInd w:w="0" w:type="dxa"/>
        <w:tblBorders/>
        <w:tblCellMar>
          <w:top w:w="28" w:type="dxa"/>
          <w:left w:w="28" w:type="dxa"/>
          <w:bottom w:w="28" w:type="dxa"/>
          <w:right w:w="28" w:type="dxa"/>
        </w:tblCellMar>
      </w:tblPr>
      <w:tblGrid>
        <w:gridCol w:w="2870"/>
        <w:gridCol w:w="1002"/>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2"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2"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2"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2"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2"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2"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2"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2"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2"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2"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2"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2"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2"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2"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2"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2"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2"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2"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2"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2"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2" w:type="dxa"/>
            <w:tcBorders/>
            <w:shd w:fill="auto" w:val="clear"/>
            <w:vAlign w:val="center"/>
          </w:tcPr>
          <w:p>
            <w:pPr>
              <w:pStyle w:val="TableContents"/>
              <w:rPr/>
            </w:pPr>
            <w:r>
              <w:rPr/>
              <w:t>64343</w:t>
            </w:r>
          </w:p>
        </w:tc>
      </w:tr>
    </w:tbl>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b w:val="false"/>
          <w:b w:val="false"/>
          <w:bCs w:val="false"/>
        </w:rPr>
      </w:pPr>
      <w:r>
        <w:rPr>
          <w:b w:val="false"/>
          <w:bCs w:val="false"/>
        </w:rPr>
        <w:t>prokka ~/ga_course/canu_pilon_assembly_110419.fasta --outdir prokka_for_canu_gff --plasmid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pPr>
      <w:r>
        <w:rPr>
          <w:b w:val="false"/>
          <w:bCs w:val="false"/>
        </w:rPr>
        <w:t>trimmomatic PE -phred33 ~/transcriptomics_data/RNA-Seq_BH/trim_paired_ERR179797</w:t>
      </w:r>
      <w:r>
        <w:rPr>
          <w:b w:val="false"/>
          <w:bCs w:val="false"/>
        </w:rPr>
        <w:t>4</w:t>
      </w:r>
      <w:r>
        <w:rPr>
          <w:b w:val="false"/>
          <w:bCs w:val="false"/>
        </w:rPr>
        <w:t>_pass_1.fastq.gz ~/transcriptomics_data/RNA-Seq_BH/trim_paired_ERR179797</w:t>
      </w:r>
      <w:r>
        <w:rPr>
          <w:b w:val="false"/>
          <w:bCs w:val="false"/>
        </w:rPr>
        <w:t>4</w:t>
      </w:r>
      <w:r>
        <w:rPr>
          <w:b w:val="false"/>
          <w:bCs w:val="false"/>
        </w:rPr>
        <w:t>_pass_2.fastq.gz ~/transcriptomics_data/trimed_reads/BH_trim_paired_ERR179797</w:t>
      </w:r>
      <w:r>
        <w:rPr>
          <w:b w:val="false"/>
          <w:bCs w:val="false"/>
        </w:rPr>
        <w:t>4</w:t>
      </w:r>
      <w:r>
        <w:rPr>
          <w:b w:val="false"/>
          <w:bCs w:val="false"/>
        </w:rPr>
        <w:t>_pass_1_trimmed.fastq.gz ~/transcriptomics_data/trimed_reads/BH_trim_paired_ERR179797</w:t>
      </w:r>
      <w:r>
        <w:rPr>
          <w:b w:val="false"/>
          <w:bCs w:val="false"/>
        </w:rPr>
        <w:t>4</w:t>
      </w:r>
      <w:r>
        <w:rPr>
          <w:b w:val="false"/>
          <w:bCs w:val="false"/>
        </w:rPr>
        <w:t>_pass_1_unpaired.fastq.gz ~/transcriptomics_data/trimed_reads/BH_trim_paired_ERR179797</w:t>
      </w:r>
      <w:r>
        <w:rPr>
          <w:b w:val="false"/>
          <w:bCs w:val="false"/>
        </w:rPr>
        <w:t>4</w:t>
      </w:r>
      <w:r>
        <w:rPr>
          <w:b w:val="false"/>
          <w:bCs w:val="false"/>
        </w:rPr>
        <w:t>_pass_2_trimmed.fastq.gz ~/transcriptomics_data/trimed_reads/BH_trim_paired_ERR179797</w:t>
      </w:r>
      <w:r>
        <w:rPr>
          <w:b w:val="false"/>
          <w:bCs w:val="false"/>
        </w:rPr>
        <w:t>4</w:t>
      </w:r>
      <w:r>
        <w:rPr>
          <w:b w:val="false"/>
          <w:bCs w:val="false"/>
        </w:rPr>
        <w:t>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558</TotalTime>
  <Application>LibreOffice/5.4.6.2$Linux_X86_64 LibreOffice_project/40m0$Build-2</Application>
  <Pages>10</Pages>
  <Words>1048</Words>
  <Characters>9123</Characters>
  <CharactersWithSpaces>9949</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2019-04-12T14:15:01Z</dcterms:modified>
  <cp:revision>67</cp:revision>
  <dc:subject/>
  <dc:title/>
</cp:coreProperties>
</file>