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t>prokka reference_from_paper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b/>
          <w:bCs/>
        </w:rPr>
      </w:pPr>
      <w:r>
        <w:rPr>
          <w:b/>
          <w:bCs/>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r>
        <w:rPr>
          <w:u w:val="single"/>
        </w:rPr>
        <w:t>(?)</w:t>
      </w:r>
    </w:p>
    <w:p>
      <w:pPr>
        <w:pStyle w:val="Normal"/>
        <w:numPr>
          <w:ilvl w:val="0"/>
          <w:numId w:val="0"/>
        </w:numPr>
        <w:ind w:left="720" w:hanging="0"/>
        <w:rPr>
          <w:u w:val="single"/>
        </w:rPr>
      </w:pPr>
      <w:r>
        <w:rPr/>
      </w:r>
    </w:p>
    <w:p>
      <w:pPr>
        <w:pStyle w:val="Normal"/>
        <w:numPr>
          <w:ilvl w:val="0"/>
          <w:numId w:val="4"/>
        </w:numPr>
        <w:rPr/>
      </w:pPr>
      <w:r>
        <w:rPr>
          <w:u w:val="single"/>
        </w:rPr>
        <w:t>S</w:t>
      </w:r>
      <w:r>
        <w:rPr>
          <w:u w:val="single"/>
        </w:rPr>
        <w:t>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2128</TotalTime>
  <Application>LibreOffice/5.4.6.2$Linux_X86_64 LibreOffice_project/40m0$Build-2</Application>
  <Pages>18</Pages>
  <Words>2154</Words>
  <Characters>21737</Characters>
  <CharactersWithSpaces>24311</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2019-05-20T14:46:13Z</dcterms:modified>
  <cp:revision>112</cp:revision>
  <dc:subject/>
  <dc:title/>
</cp:coreProperties>
</file>