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left"/>
      </w:pPr>
      <w:r>
        <w:rPr>
          <w:rFonts w:ascii="Calibri" w:hAnsi="Calibri" w:eastAsia="黑体"/>
          <w:b/>
          <w:color w:val="1D2939"/>
          <w:sz w:val="36"/>
        </w:rPr>
        <w:t>财税与经营风险分析报告</w:t>
      </w:r>
    </w:p>
    <w:p>
      <w:pPr>
        <w:spacing w:before="0" w:after="200"/>
        <w:pBdr>
          <w:bottom w:val="single" w:sz="18" w:space="1" w:color="185FA5"/>
        </w:pBdr>
      </w:pPr>
    </w:p>
    <w:p>
      <w:pPr>
        <w:spacing w:after="280"/>
        <w:jc w:val="left"/>
      </w:pPr>
      <w:r>
        <w:rPr>
          <w:rFonts w:ascii="Calibri" w:hAnsi="Calibri" w:eastAsia="微软雅黑"/>
          <w:b w:val="0"/>
          <w:color w:val="667085"/>
          <w:sz w:val="18"/>
        </w:rPr>
        <w:t>主体  {{entity_name}}    期间  {{period}}    币种  {{currency}}    编制  {{report_date}}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一、报告说明与数据来源</w:t>
      </w:r>
    </w:p>
    <w:p>
      <w:r>
        <w:rPr>
          <w:rFonts w:ascii="Calibri" w:hAnsi="Calibri" w:eastAsia="微软雅黑"/>
          <w:b w:val="0"/>
          <w:color w:val="1D2939"/>
          <w:sz w:val="21"/>
        </w:rPr>
        <w:t>{{report_notes}}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二、老板数据看板（核心 KPI 速览）</w:t>
      </w:r>
    </w:p>
    <w:p>
      <w:r>
        <w:rPr>
          <w:rFonts w:ascii="Calibri" w:hAnsi="Calibri" w:eastAsia="微软雅黑"/>
          <w:b w:val="0"/>
          <w:color w:val="1D2939"/>
          <w:sz w:val="21"/>
        </w:rPr>
        <w:t>{{kpi_insights}}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年度1</w:t>
            </w:r>
          </w:p>
        </w:tc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年度2</w:t>
            </w:r>
          </w:p>
        </w:tc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年度3</w:t>
            </w:r>
          </w:p>
        </w:tc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年度4</w:t>
            </w:r>
          </w:p>
        </w:tc>
        <w:tc>
          <w:tcPr>
            <w:tcW w:type="dxa" w:w="1644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年度5</w:t>
            </w:r>
          </w:p>
        </w:tc>
      </w:tr>
      <w:tr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{{kpi.metric}}</w:t>
            </w:r>
          </w:p>
        </w:tc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{{kpi.y1}}</w:t>
            </w:r>
          </w:p>
        </w:tc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{{kpi.y2}}</w:t>
            </w:r>
          </w:p>
        </w:tc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{{kpi.y3}}</w:t>
            </w:r>
          </w:p>
        </w:tc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{{kpi.y4}}</w:t>
            </w:r>
          </w:p>
        </w:tc>
        <w:tc>
          <w:tcPr>
            <w:tcW w:type="dxa" w:w="1644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{{kpi.y5}}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三、经营与财务趋势分析</w:t>
      </w:r>
    </w:p>
    <w:p>
      <w:r>
        <w:rPr>
          <w:rFonts w:ascii="Calibri" w:hAnsi="Calibri" w:eastAsia="微软雅黑"/>
          <w:b w:val="0"/>
          <w:color w:val="1D2939"/>
          <w:sz w:val="21"/>
        </w:rPr>
        <w:t>{{trend_analysis}}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四、五年财务数据透视</w:t>
      </w:r>
    </w:p>
    <w:p>
      <w:r>
        <w:rPr>
          <w:rFonts w:ascii="Calibri" w:hAnsi="Calibri" w:eastAsia="微软雅黑"/>
          <w:b w:val="0"/>
          <w:color w:val="1D2939"/>
          <w:sz w:val="21"/>
        </w:rPr>
        <w:t>{{statements_analysis}}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五、税务与现金专项分析</w:t>
      </w:r>
    </w:p>
    <w:p>
      <w:r>
        <w:rPr>
          <w:rFonts w:ascii="Calibri" w:hAnsi="Calibri" w:eastAsia="微软雅黑"/>
          <w:b w:val="0"/>
          <w:color w:val="1D2939"/>
          <w:sz w:val="21"/>
        </w:rPr>
        <w:t>{{tax_cash_analysis}}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六、财税风险分析及识别点</w:t>
      </w:r>
    </w:p>
    <w:p>
      <w:r>
        <w:rPr>
          <w:rFonts w:ascii="Calibri" w:hAnsi="Calibri" w:eastAsia="微软雅黑"/>
          <w:b w:val="0"/>
          <w:color w:val="1D2939"/>
          <w:sz w:val="21"/>
        </w:rPr>
        <w:t>{{tax_risks}}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七、经营风险识别</w:t>
      </w:r>
    </w:p>
    <w:p>
      <w:r>
        <w:rPr>
          <w:rFonts w:ascii="Calibri" w:hAnsi="Calibri" w:eastAsia="微软雅黑"/>
          <w:b w:val="0"/>
          <w:color w:val="1D2939"/>
          <w:sz w:val="21"/>
        </w:rPr>
        <w:t>{{operating_risks}}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八、重大专题与治理风险</w:t>
      </w:r>
    </w:p>
    <w:p>
      <w:r>
        <w:rPr>
          <w:rFonts w:ascii="Calibri" w:hAnsi="Calibri" w:eastAsia="微软雅黑"/>
          <w:b w:val="0"/>
          <w:color w:val="1D2939"/>
          <w:sz w:val="21"/>
        </w:rPr>
        <w:t>{{special_topics}}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九、专业改进建议</w:t>
      </w:r>
    </w:p>
    <w:p>
      <w:r>
        <w:rPr>
          <w:rFonts w:ascii="Calibri" w:hAnsi="Calibri" w:eastAsia="微软雅黑"/>
          <w:b w:val="0"/>
          <w:color w:val="1D2939"/>
          <w:sz w:val="21"/>
        </w:rPr>
        <w:t>{{recommendations}}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建议项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实施周期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落地措施与预期收益</w:t>
            </w:r>
          </w:p>
        </w:tc>
      </w:tr>
      <w:tr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{{recommendations.item}}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{{recommendations.priority}}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{{recommendations.timeline}}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{{recommendations.measures}}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十、风险矩阵与综合评级</w:t>
      </w:r>
    </w:p>
    <w:p>
      <w:r>
        <w:rPr>
          <w:rFonts w:ascii="Calibri" w:hAnsi="Calibri" w:eastAsia="微软雅黑"/>
          <w:b w:val="0"/>
          <w:color w:val="1D2939"/>
          <w:sz w:val="21"/>
        </w:rPr>
        <w:t>{{overall_rating}}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73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1973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973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风险评分</w:t>
            </w:r>
          </w:p>
        </w:tc>
        <w:tc>
          <w:tcPr>
            <w:tcW w:type="dxa" w:w="1973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处置建议</w:t>
            </w:r>
          </w:p>
        </w:tc>
      </w:tr>
      <w:tr>
        <w:tc>
          <w:tcPr>
            <w:tcW w:type="dxa" w:w="1973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{{risk_matrix.risk_id}}</w:t>
            </w:r>
          </w:p>
        </w:tc>
        <w:tc>
          <w:tcPr>
            <w:tcW w:type="dxa" w:w="1973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{{risk_matrix.risk}}</w:t>
            </w:r>
          </w:p>
        </w:tc>
        <w:tc>
          <w:tcPr>
            <w:tcW w:type="dxa" w:w="1973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{{risk_matrix.level}}</w:t>
            </w:r>
          </w:p>
        </w:tc>
        <w:tc>
          <w:tcPr>
            <w:tcW w:type="dxa" w:w="1973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{{risk_matrix.score}}</w:t>
            </w:r>
          </w:p>
        </w:tc>
        <w:tc>
          <w:tcPr>
            <w:tcW w:type="dxa" w:w="1973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{{risk_matrix.action}}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十一、优先级整改建议</w:t>
      </w:r>
    </w:p>
    <w:p>
      <w:r>
        <w:rPr>
          <w:rFonts w:ascii="Calibri" w:hAnsi="Calibri" w:eastAsia="微软雅黑"/>
          <w:b w:val="0"/>
          <w:color w:val="1D2939"/>
          <w:sz w:val="21"/>
        </w:rPr>
        <w:t>{{remediation_plan}}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风险清单及建议核查程序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风险领域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2466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建议程序</w:t>
            </w:r>
          </w:p>
        </w:tc>
      </w:tr>
      <w:tr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{{procedures.area}}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{{procedures.level}}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{{procedures.issue}}</w:t>
            </w:r>
          </w:p>
        </w:tc>
        <w:tc>
          <w:tcPr>
            <w:tcW w:type="dxa" w:w="2466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{{procedures.procedure}}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期后事项与外部信息</w:t>
      </w:r>
    </w:p>
    <w:p>
      <w:r>
        <w:rPr>
          <w:rFonts w:ascii="Calibri" w:hAnsi="Calibri" w:eastAsia="微软雅黑"/>
          <w:b w:val="0"/>
          <w:color w:val="1D2939"/>
          <w:sz w:val="21"/>
        </w:rPr>
        <w:t>{{subsequent_events}}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89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公开信息</w:t>
            </w:r>
          </w:p>
        </w:tc>
        <w:tc>
          <w:tcPr>
            <w:tcW w:type="dxa" w:w="3289"/>
            <w:shd w:val="clear" w:color="auto" w:fill="185FA5"/>
          </w:tcPr>
          <w:p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分析影响</w:t>
            </w:r>
          </w:p>
        </w:tc>
      </w:tr>
      <w:tr>
        <w:tc>
          <w:tcPr>
            <w:tcW w:type="dxa" w:w="3289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{{subsequent_events.event}}</w:t>
            </w:r>
          </w:p>
        </w:tc>
        <w:tc>
          <w:tcPr>
            <w:tcW w:type="dxa" w:w="3289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{{subsequent_events.disclosure}}</w:t>
            </w:r>
          </w:p>
        </w:tc>
        <w:tc>
          <w:tcPr>
            <w:tcW w:type="dxa" w:w="3289"/>
            <w:shd w:val="clear" w:color="auto" w:fill="F4F6F8"/>
          </w:tcPr>
          <w:p>
            <w:r/>
            <w:r>
              <w:rPr>
                <w:rFonts w:ascii="Calibri" w:hAnsi="Calibri" w:eastAsia="微软雅黑"/>
                <w:b w:val="0"/>
                <w:color w:val="1D2939"/>
                <w:sz w:val="18"/>
              </w:rPr>
              <w:t>{{subsequent_events.impact}}</w:t>
            </w:r>
          </w:p>
        </w:tc>
      </w:tr>
    </w:tbl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十二、结论</w:t>
      </w:r>
    </w:p>
    <w:p>
      <w:r>
        <w:rPr>
          <w:rFonts w:ascii="Calibri" w:hAnsi="Calibri" w:eastAsia="微软雅黑"/>
          <w:b w:val="0"/>
          <w:color w:val="1D2939"/>
          <w:sz w:val="21"/>
        </w:rPr>
        <w:t>{{conclusion}}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未决问题</w:t>
      </w:r>
    </w:p>
    <w:p>
      <w:r>
        <w:rPr>
          <w:rFonts w:ascii="Calibri" w:hAnsi="Calibri" w:eastAsia="微软雅黑"/>
          <w:b w:val="0"/>
          <w:color w:val="1D2939"/>
          <w:sz w:val="21"/>
        </w:rPr>
        <w:t>{{open_issues}}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数据缺口</w:t>
      </w:r>
    </w:p>
    <w:p>
      <w:r>
        <w:rPr>
          <w:rFonts w:ascii="Calibri" w:hAnsi="Calibri" w:eastAsia="微软雅黑"/>
          <w:b w:val="0"/>
          <w:color w:val="1D2939"/>
          <w:sz w:val="21"/>
        </w:rPr>
        <w:t>{{data_gaps}}</w:t>
      </w:r>
    </w:p>
    <w:p>
      <w:pPr>
        <w:keepNext/>
        <w:spacing w:before="240" w:after="80"/>
      </w:pPr>
      <w:r>
        <w:rPr>
          <w:rFonts w:ascii="Calibri" w:hAnsi="Calibri" w:eastAsia="黑体"/>
          <w:b/>
          <w:color w:val="185FA5"/>
          <w:sz w:val="26"/>
        </w:rPr>
        <w:t>附录与免责声明</w:t>
      </w:r>
    </w:p>
    <w:p>
      <w:r>
        <w:rPr>
          <w:rFonts w:ascii="Calibri" w:hAnsi="Calibri" w:eastAsia="微软雅黑"/>
          <w:b w:val="0"/>
          <w:color w:val="1D2939"/>
          <w:sz w:val="21"/>
        </w:rPr>
        <w:t>{{appendix_and_disclaimer}}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D0D5DD"/>
      </w:pBdr>
    </w:pPr>
    <w:r/>
    <w:r>
      <w:rPr>
        <w:rFonts w:ascii="Calibri" w:hAnsi="Calibri" w:eastAsia="微软雅黑"/>
        <w:b w:val="0"/>
        <w:color w:val="667085"/>
        <w:sz w:val="16"/>
      </w:rPr>
      <w:t xml:space="preserve">— </w:t>
    </w:r>
    <w:r>
      <w:rPr>
        <w:rFonts w:ascii="Calibri" w:hAnsi="Calibri" w:eastAsia="微软雅黑"/>
        <w:b w:val="0"/>
        <w:color w:val="667085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b w:val="0"/>
        <w:color w:val="667085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0D5DD"/>
      </w:pBdr>
    </w:pPr>
    <w:r/>
    <w:r>
      <w:rPr>
        <w:rFonts w:ascii="Calibri" w:hAnsi="Calibri" w:eastAsia="微软雅黑"/>
        <w:b w:val="0"/>
        <w:color w:val="667085"/>
        <w:sz w:val="16"/>
      </w:rPr>
      <w:t>{{company_header}}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70"/>
    </w:pPr>
    <w:rPr>
      <w:rFonts w:ascii="Calibri" w:hAnsi="Calibri" w:eastAsia="微软雅黑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