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黑体" w:hAnsi="黑体" w:eastAsia="黑体"/>
          <w:b/>
          <w:color w:val="000000"/>
          <w:sz w:val="30"/>
        </w:rPr>
        <w:t>Cache-to-Cache (C2C)调研报告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参考文献</w:t>
      </w:r>
      <w:r>
        <w:rPr>
          <w:rFonts w:ascii="Times New Roman" w:hAnsi="Times New Roman" w:eastAsia="宋体"/>
          <w:color w:val="000000"/>
          <w:sz w:val="24"/>
        </w:rPr>
        <w:t xml:space="preserve">: </w:t>
      </w:r>
      <w:r>
        <w:rPr>
          <w:rFonts w:ascii="Times New Roman" w:hAnsi="Times New Roman" w:eastAsia="宋体"/>
          <w:i/>
          <w:color w:val="000000"/>
          <w:sz w:val="24"/>
        </w:rPr>
        <w:t>Cache-to-Cache: Direct Semantic Communication Between Large Language Models (Fu et al., 2025)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1. 概述 (Abstract)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随着多大语言模型（Multi-LLM）系统的发展，模型间的协作通常依赖于</w:t>
      </w:r>
      <w:r>
        <w:rPr>
          <w:rFonts w:ascii="Times New Roman" w:hAnsi="Times New Roman" w:eastAsia="宋体"/>
          <w:b/>
          <w:color w:val="000000"/>
          <w:sz w:val="24"/>
        </w:rPr>
        <w:t>文本（Text-to-Text, T2T）</w:t>
      </w:r>
      <w:r>
        <w:rPr>
          <w:rFonts w:ascii="Times New Roman" w:hAnsi="Times New Roman" w:eastAsia="宋体"/>
          <w:color w:val="000000"/>
          <w:sz w:val="24"/>
        </w:rPr>
        <w:t>作为通信媒介。然而，T2T通信存在明显的局限性：内部高维表征被压缩为离散文本导致语义丢失（Information Bottleneck），且生成文本带来了巨大的延迟。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本报告调研了一种新的通信范式——</w:t>
      </w:r>
      <w:r>
        <w:rPr>
          <w:rFonts w:ascii="Times New Roman" w:hAnsi="Times New Roman" w:eastAsia="宋体"/>
          <w:b/>
          <w:color w:val="000000"/>
          <w:sz w:val="24"/>
        </w:rPr>
        <w:t>Cache-to-Cache (C2C)</w:t>
      </w:r>
      <w:r>
        <w:rPr>
          <w:rFonts w:ascii="Times New Roman" w:hAnsi="Times New Roman" w:eastAsia="宋体"/>
          <w:color w:val="000000"/>
          <w:sz w:val="24"/>
        </w:rPr>
        <w:t>。该方法提出利用</w:t>
      </w:r>
      <w:r>
        <w:rPr>
          <w:rFonts w:ascii="Times New Roman" w:hAnsi="Times New Roman" w:eastAsia="宋体"/>
          <w:b/>
          <w:color w:val="000000"/>
          <w:sz w:val="24"/>
        </w:rPr>
        <w:t>KV-Cache</w:t>
      </w:r>
      <w:r>
        <w:rPr>
          <w:rFonts w:ascii="Times New Roman" w:hAnsi="Times New Roman" w:eastAsia="宋体"/>
          <w:color w:val="000000"/>
          <w:sz w:val="24"/>
        </w:rPr>
        <w:t>作为通信媒介，通过神经网络将源模型（Sharer）的内部状态直接投影并融合到目标模型（Receiver）中。实验表明，C2C不仅在准确率上超越了传统的T2T方法（提升约3.0-5.0%），还实现了平均2.0倍的推理加速。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2. 背景与动机 (Background &amp; Motivation)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2.1 现有问题：T2T 通信的瓶颈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当前的多LLM协作系统（如Chain-of-Agents, Mixture-of-Agents）主要模仿人类的语言交流，通过显式的文本消息交换信息。这种方式存在三个核心缺陷：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信息瓶颈</w:t>
      </w:r>
      <w:r>
        <w:rPr>
          <w:rFonts w:ascii="Times New Roman" w:hAnsi="Times New Roman" w:eastAsia="宋体"/>
          <w:color w:val="000000"/>
          <w:sz w:val="24"/>
        </w:rPr>
        <w:t>：模型内部丰富的语义表征（高维向量）被迫压缩为线性、离散的Token序列，导致关键的隐式信息丢失。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歧义性</w:t>
      </w:r>
      <w:r>
        <w:rPr>
          <w:rFonts w:ascii="Times New Roman" w:hAnsi="Times New Roman" w:eastAsia="宋体"/>
          <w:color w:val="000000"/>
          <w:sz w:val="24"/>
        </w:rPr>
        <w:t>：自然语言本质上具有歧义性，接收模型可能无法完美还原发送模型的意图。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高延迟</w:t>
      </w:r>
      <w:r>
        <w:rPr>
          <w:rFonts w:ascii="Times New Roman" w:hAnsi="Times New Roman" w:eastAsia="宋体"/>
          <w:color w:val="000000"/>
          <w:sz w:val="24"/>
        </w:rPr>
        <w:t>：T2T要求发送者逐Token解码生成消息，接收者再逐Token编码，这是一个串行的低效过程。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2.2 核心问题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论文提出了一个根本性的问题：</w:t>
      </w:r>
      <w:r>
        <w:rPr>
          <w:rFonts w:ascii="Times New Roman" w:hAnsi="Times New Roman" w:eastAsia="宋体"/>
          <w:b/>
          <w:color w:val="000000"/>
          <w:sz w:val="24"/>
        </w:rPr>
        <w:t>大语言模型能否超越文本进行通信？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3. 理论验证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3.1 收益验证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假设</w:t>
      </w:r>
      <w:r>
        <w:rPr>
          <w:rFonts w:ascii="Times New Roman" w:hAnsi="Times New Roman" w:eastAsia="宋体"/>
          <w:color w:val="000000"/>
          <w:sz w:val="24"/>
        </w:rPr>
        <w:t>：在不增加上下文长度的情况下，富集KV-Cache的语义能否提升模型性能？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方法</w:t>
      </w:r>
      <w:r>
        <w:rPr>
          <w:rFonts w:ascii="Times New Roman" w:hAnsi="Times New Roman" w:eastAsia="宋体"/>
          <w:color w:val="000000"/>
          <w:sz w:val="24"/>
        </w:rPr>
        <w:t>：对比Direct、Few-shot和Oracle三种方式。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结论</w:t>
      </w:r>
      <w:r>
        <w:rPr>
          <w:rFonts w:ascii="Times New Roman" w:hAnsi="Times New Roman" w:eastAsia="宋体"/>
          <w:color w:val="000000"/>
          <w:sz w:val="24"/>
        </w:rPr>
        <w:t>：经过语义增强的KV-Cache能显著提升响应质量。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3.2 可转换性验证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方法</w:t>
      </w:r>
      <w:r>
        <w:rPr>
          <w:rFonts w:ascii="Times New Roman" w:hAnsi="Times New Roman" w:eastAsia="宋体"/>
          <w:color w:val="000000"/>
          <w:sz w:val="24"/>
        </w:rPr>
        <w:t>：训练一个3层MLP，将源模型的KV-Cache映射到目标模型的空间。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结论</w:t>
      </w:r>
      <w:r>
        <w:rPr>
          <w:rFonts w:ascii="Times New Roman" w:hAnsi="Times New Roman" w:eastAsia="宋体"/>
          <w:color w:val="000000"/>
          <w:sz w:val="24"/>
        </w:rPr>
        <w:t>：转换后的Cache成功嵌入到了目标模型的表征空间中。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4. 方法论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4.1 C2C Fuser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这是核心组件，用于在推理过程中将Sharer的知识注入Receiver。Fuser包含三个模块：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投影模块</w:t>
      </w:r>
      <w:r>
        <w:rPr>
          <w:rFonts w:ascii="Times New Roman" w:hAnsi="Times New Roman" w:eastAsia="宋体"/>
          <w:color w:val="000000"/>
          <w:sz w:val="24"/>
        </w:rPr>
        <w:t>：将Sharer的KV-Cache投影到Receiver的维度空间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动态加权</w:t>
      </w:r>
      <w:r>
        <w:rPr>
          <w:rFonts w:ascii="Times New Roman" w:hAnsi="Times New Roman" w:eastAsia="宋体"/>
          <w:color w:val="000000"/>
          <w:sz w:val="24"/>
        </w:rPr>
        <w:t>：通过输入感知的Head Modulation层动态调整权重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可学习门控</w:t>
      </w:r>
      <w:r>
        <w:rPr>
          <w:rFonts w:ascii="Times New Roman" w:hAnsi="Times New Roman" w:eastAsia="宋体"/>
          <w:color w:val="000000"/>
          <w:sz w:val="24"/>
        </w:rPr>
        <w:t>：引入层级门控机制自动选择受益最大的层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4.2 模型对齐机制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由于不同模型的层数和分词器不同，C2C必须解决对齐问题：</w:t>
      </w:r>
    </w:p>
    <w:p>
      <w:pPr>
        <w:spacing w:line="360" w:lineRule="auto" w:before="0" w:after="0"/>
        <w:ind w:firstLine="0"/>
      </w:pPr>
      <w:r>
        <w:rPr>
          <w:rFonts w:ascii="Times New Roman" w:hAnsi="Times New Roman" w:eastAsia="宋体"/>
          <w:color w:val="000000"/>
          <w:sz w:val="24"/>
        </w:rPr>
        <w:t xml:space="preserve">1.4.2.1. </w:t>
      </w:r>
      <w:r>
        <w:rPr>
          <w:rFonts w:ascii="Times New Roman" w:hAnsi="Times New Roman" w:eastAsia="宋体"/>
          <w:b/>
          <w:color w:val="000000"/>
          <w:sz w:val="24"/>
        </w:rPr>
        <w:t>层对齐</w:t>
      </w:r>
      <w:r>
        <w:rPr>
          <w:rFonts w:ascii="Times New Roman" w:hAnsi="Times New Roman" w:eastAsia="宋体"/>
          <w:color w:val="000000"/>
          <w:sz w:val="24"/>
        </w:rPr>
        <w:t>：采用终端对齐策略</w:t>
      </w:r>
    </w:p>
    <w:p>
      <w:pPr>
        <w:spacing w:line="360" w:lineRule="auto" w:before="0" w:after="0"/>
        <w:ind w:firstLine="0"/>
      </w:pPr>
      <w:r>
        <w:rPr>
          <w:rFonts w:ascii="Times New Roman" w:hAnsi="Times New Roman" w:eastAsia="宋体"/>
          <w:color w:val="000000"/>
          <w:sz w:val="24"/>
        </w:rPr>
        <w:t xml:space="preserve">1.4.2.2. </w:t>
      </w:r>
      <w:r>
        <w:rPr>
          <w:rFonts w:ascii="Times New Roman" w:hAnsi="Times New Roman" w:eastAsia="宋体"/>
          <w:b/>
          <w:color w:val="000000"/>
          <w:sz w:val="24"/>
        </w:rPr>
        <w:t>Token对齐</w:t>
      </w:r>
      <w:r>
        <w:rPr>
          <w:rFonts w:ascii="Times New Roman" w:hAnsi="Times New Roman" w:eastAsia="宋体"/>
          <w:color w:val="000000"/>
          <w:sz w:val="24"/>
        </w:rPr>
        <w:t>：</w:t>
      </w:r>
    </w:p>
    <w:p>
      <w:pPr>
        <w:spacing w:line="360" w:lineRule="auto" w:before="0" w:after="0"/>
        <w:ind w:left="480" w:firstLine="480"/>
      </w:pPr>
      <w:r>
        <w:rPr>
          <w:rFonts w:ascii="Times New Roman" w:hAnsi="Times New Roman" w:eastAsia="宋体"/>
          <w:color w:val="000000"/>
          <w:sz w:val="24"/>
        </w:rPr>
        <w:t>对于系统模版Token：直接Padding对齐</w:t>
      </w:r>
    </w:p>
    <w:p>
      <w:pPr>
        <w:spacing w:line="360" w:lineRule="auto" w:before="0" w:after="0"/>
        <w:ind w:left="480" w:firstLine="480"/>
      </w:pPr>
      <w:r>
        <w:rPr>
          <w:rFonts w:ascii="Times New Roman" w:hAnsi="Times New Roman" w:eastAsia="宋体"/>
          <w:color w:val="000000"/>
          <w:sz w:val="24"/>
        </w:rPr>
        <w:t>对于消息内容Token：采用最大覆盖策略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4.3 训练策略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冻结Sharer和Receiver的主干参数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仅训练C2C Fuser模块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5. 实验评估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5.1 设置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模型</w:t>
      </w:r>
      <w:r>
        <w:rPr>
          <w:rFonts w:ascii="Times New Roman" w:hAnsi="Times New Roman" w:eastAsia="宋体"/>
          <w:color w:val="000000"/>
          <w:sz w:val="24"/>
        </w:rPr>
        <w:t>：涵盖Qwen2.5, Qwen3, Llama3.2等不同家族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基准</w:t>
      </w:r>
      <w:r>
        <w:rPr>
          <w:rFonts w:ascii="Times New Roman" w:hAnsi="Times New Roman" w:eastAsia="宋体"/>
          <w:color w:val="000000"/>
          <w:sz w:val="24"/>
        </w:rPr>
        <w:t>：OpenBookQA, MMLU-Redux等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5.2 核心结果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性能提升</w:t>
      </w:r>
      <w:r>
        <w:rPr>
          <w:rFonts w:ascii="Times New Roman" w:hAnsi="Times New Roman" w:eastAsia="宋体"/>
          <w:color w:val="000000"/>
          <w:sz w:val="24"/>
        </w:rPr>
        <w:t>：C2C比单模型平均准确率提升8.5%-10.5%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效率提升</w:t>
      </w:r>
      <w:r>
        <w:rPr>
          <w:rFonts w:ascii="Times New Roman" w:hAnsi="Times New Roman" w:eastAsia="宋体"/>
          <w:color w:val="000000"/>
          <w:sz w:val="24"/>
        </w:rPr>
        <w:t>：实现平均2.0x的端到端延迟加速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6. 结论与未来方向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6.1 结论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C2C证明了KV-Cache是一种比文本更高效、更高保真的LLM通信媒介。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6.2 潜在应用场景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隐私保护</w:t>
      </w:r>
      <w:r>
        <w:rPr>
          <w:rFonts w:ascii="Times New Roman" w:hAnsi="Times New Roman" w:eastAsia="宋体"/>
          <w:color w:val="000000"/>
          <w:sz w:val="24"/>
        </w:rPr>
        <w:t>：只传输抽象的KV-Cache给端侧小模型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推理解码加速</w:t>
      </w:r>
      <w:r>
        <w:rPr>
          <w:rFonts w:ascii="Times New Roman" w:hAnsi="Times New Roman" w:eastAsia="宋体"/>
          <w:color w:val="000000"/>
          <w:sz w:val="24"/>
        </w:rPr>
        <w:t>：结合推测解码加速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多模态融合</w:t>
      </w:r>
      <w:r>
        <w:rPr>
          <w:rFonts w:ascii="Times New Roman" w:hAnsi="Times New Roman" w:eastAsia="宋体"/>
          <w:color w:val="000000"/>
          <w:sz w:val="24"/>
        </w:rPr>
        <w:t>：实现跨模态语义对齐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