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微软雅黑"/>
          <w:b/>
          <w:color w:val="14365D"/>
          <w:sz w:val="31"/>
        </w:rPr>
        <w:t>第2章 Step 1 实验报告：学术 PDF 章节结构树解析与四区靶向切片核验</w:t>
      </w:r>
    </w:p>
    <w:p>
      <w:pPr>
        <w:spacing w:after="200"/>
        <w:jc w:val="center"/>
      </w:pPr>
      <w:r>
        <w:rPr>
          <w:rFonts w:ascii="Times New Roman" w:hAnsi="Times New Roman" w:eastAsia="微软雅黑"/>
          <w:b/>
          <w:color w:val="595959"/>
          <w:sz w:val="21"/>
        </w:rPr>
        <w:t>实验对象：当前输入语料中的 5 篇全文 PDF</w:t>
      </w:r>
    </w:p>
    <w:tbl>
      <w:tblPr>
        <w:tblW w:type="auto" w:w="0"/>
        <w:jc w:val="center"/>
        <w:tblLook w:firstColumn="1" w:firstRow="1" w:lastColumn="0" w:lastRow="0" w:noHBand="0" w:noVBand="1" w:val="04A0"/>
      </w:tblPr>
      <w:tblGrid>
        <w:gridCol w:w="1312"/>
        <w:gridCol w:w="1312"/>
        <w:gridCol w:w="1312"/>
        <w:gridCol w:w="1312"/>
        <w:gridCol w:w="1312"/>
        <w:gridCol w:w="1312"/>
        <w:gridCol w:w="1312"/>
      </w:tblGrid>
      <w:tr>
        <w:tc>
          <w:tcPr>
            <w:tcW w:type="dxa" w:w="1312"/>
            <w:shd w:fill="1F4E79"/>
          </w:tcPr>
          <w:p>
            <w:pPr>
              <w:jc w:val="center"/>
            </w:pPr>
            <w:r>
              <w:rPr>
                <w:rFonts w:ascii="Times New Roman" w:hAnsi="Times New Roman" w:eastAsia="微软雅黑"/>
                <w:b/>
                <w:color w:val="FFFFFF"/>
                <w:sz w:val="19"/>
              </w:rPr>
              <w:t>样本编号与文件名</w:t>
            </w:r>
          </w:p>
        </w:tc>
        <w:tc>
          <w:tcPr>
            <w:tcW w:type="dxa" w:w="1312"/>
            <w:shd w:fill="1F4E79"/>
          </w:tcPr>
          <w:p>
            <w:pPr>
              <w:jc w:val="center"/>
            </w:pPr>
            <w:r>
              <w:rPr>
                <w:rFonts w:ascii="Times New Roman" w:hAnsi="Times New Roman" w:eastAsia="微软雅黑"/>
                <w:b/>
                <w:color w:val="FFFFFF"/>
                <w:sz w:val="19"/>
              </w:rPr>
              <w:t>期刊与年份</w:t>
            </w:r>
          </w:p>
        </w:tc>
        <w:tc>
          <w:tcPr>
            <w:tcW w:type="dxa" w:w="1312"/>
            <w:shd w:fill="1F4E79"/>
          </w:tcPr>
          <w:p>
            <w:pPr>
              <w:jc w:val="center"/>
            </w:pPr>
            <w:r>
              <w:rPr>
                <w:rFonts w:ascii="Times New Roman" w:hAnsi="Times New Roman" w:eastAsia="微软雅黑"/>
                <w:b/>
                <w:color w:val="FFFFFF"/>
                <w:sz w:val="19"/>
              </w:rPr>
              <w:t>页数</w:t>
            </w:r>
          </w:p>
        </w:tc>
        <w:tc>
          <w:tcPr>
            <w:tcW w:type="dxa" w:w="1312"/>
            <w:shd w:fill="1F4E79"/>
          </w:tcPr>
          <w:p>
            <w:pPr>
              <w:jc w:val="center"/>
            </w:pPr>
            <w:r>
              <w:rPr>
                <w:rFonts w:ascii="Times New Roman" w:hAnsi="Times New Roman" w:eastAsia="微软雅黑"/>
                <w:b/>
                <w:color w:val="FFFFFF"/>
                <w:sz w:val="19"/>
              </w:rPr>
              <w:t>全文总词数</w:t>
            </w:r>
          </w:p>
        </w:tc>
        <w:tc>
          <w:tcPr>
            <w:tcW w:type="dxa" w:w="1312"/>
            <w:shd w:fill="1F4E79"/>
          </w:tcPr>
          <w:p>
            <w:pPr>
              <w:jc w:val="center"/>
            </w:pPr>
            <w:r>
              <w:rPr>
                <w:rFonts w:ascii="Times New Roman" w:hAnsi="Times New Roman" w:eastAsia="微软雅黑"/>
                <w:b/>
                <w:color w:val="FFFFFF"/>
                <w:sz w:val="19"/>
              </w:rPr>
              <w:t>靶向保留词数</w:t>
            </w:r>
          </w:p>
        </w:tc>
        <w:tc>
          <w:tcPr>
            <w:tcW w:type="dxa" w:w="1312"/>
            <w:shd w:fill="1F4E79"/>
          </w:tcPr>
          <w:p>
            <w:pPr>
              <w:jc w:val="center"/>
            </w:pPr>
            <w:r>
              <w:rPr>
                <w:rFonts w:ascii="Times New Roman" w:hAnsi="Times New Roman" w:eastAsia="微软雅黑"/>
                <w:b/>
                <w:color w:val="FFFFFF"/>
                <w:sz w:val="19"/>
              </w:rPr>
              <w:t>剥离干扰词数</w:t>
            </w:r>
          </w:p>
        </w:tc>
        <w:tc>
          <w:tcPr>
            <w:tcW w:type="dxa" w:w="1312"/>
            <w:shd w:fill="1F4E79"/>
          </w:tcPr>
          <w:p>
            <w:pPr>
              <w:jc w:val="center"/>
            </w:pPr>
            <w:r>
              <w:rPr>
                <w:rFonts w:ascii="Times New Roman" w:hAnsi="Times New Roman" w:eastAsia="微软雅黑"/>
                <w:b/>
                <w:color w:val="FFFFFF"/>
                <w:sz w:val="19"/>
              </w:rPr>
              <w:t>词数降噪率</w:t>
            </w:r>
          </w:p>
        </w:tc>
      </w:tr>
      <w:tr>
        <w:tc>
          <w:tcPr>
            <w:tcW w:type="dxa" w:w="1312"/>
          </w:tcPr>
          <w:p>
            <w:pPr>
              <w:jc w:val="center"/>
            </w:pPr>
            <w:r>
              <w:rPr>
                <w:rFonts w:ascii="Times New Roman" w:hAnsi="Times New Roman" w:eastAsia="宋体"/>
                <w:b/>
                <w:sz w:val="19"/>
              </w:rPr>
              <w:t>B001-PDF-01 | 120.pdf</w:t>
            </w:r>
          </w:p>
        </w:tc>
        <w:tc>
          <w:tcPr>
            <w:tcW w:type="dxa" w:w="1312"/>
          </w:tcPr>
          <w:p>
            <w:pPr>
              <w:jc w:val="center"/>
            </w:pPr>
            <w:r>
              <w:rPr>
                <w:rFonts w:ascii="Times New Roman" w:hAnsi="Times New Roman" w:eastAsia="宋体"/>
                <w:sz w:val="19"/>
              </w:rPr>
              <w:t>Electrical Power and Energy Systems (2021)</w:t>
            </w:r>
          </w:p>
        </w:tc>
        <w:tc>
          <w:tcPr>
            <w:tcW w:type="dxa" w:w="1312"/>
          </w:tcPr>
          <w:p>
            <w:pPr>
              <w:jc w:val="center"/>
            </w:pPr>
            <w:r>
              <w:rPr>
                <w:rFonts w:ascii="Times New Roman" w:hAnsi="Times New Roman" w:eastAsia="宋体"/>
                <w:sz w:val="19"/>
              </w:rPr>
              <w:t>12</w:t>
            </w:r>
          </w:p>
        </w:tc>
        <w:tc>
          <w:tcPr>
            <w:tcW w:type="dxa" w:w="1312"/>
          </w:tcPr>
          <w:p>
            <w:pPr>
              <w:jc w:val="center"/>
            </w:pPr>
            <w:r>
              <w:rPr>
                <w:rFonts w:ascii="Times New Roman" w:hAnsi="Times New Roman" w:eastAsia="宋体"/>
                <w:sz w:val="19"/>
              </w:rPr>
              <w:t>8,343</w:t>
            </w:r>
          </w:p>
        </w:tc>
        <w:tc>
          <w:tcPr>
            <w:tcW w:type="dxa" w:w="1312"/>
          </w:tcPr>
          <w:p>
            <w:pPr>
              <w:jc w:val="center"/>
            </w:pPr>
            <w:r>
              <w:rPr>
                <w:rFonts w:ascii="Times New Roman" w:hAnsi="Times New Roman" w:eastAsia="宋体"/>
                <w:sz w:val="19"/>
              </w:rPr>
              <w:t>4,862</w:t>
            </w:r>
          </w:p>
        </w:tc>
        <w:tc>
          <w:tcPr>
            <w:tcW w:type="dxa" w:w="1312"/>
          </w:tcPr>
          <w:p>
            <w:pPr>
              <w:jc w:val="center"/>
            </w:pPr>
            <w:r>
              <w:rPr>
                <w:rFonts w:ascii="Times New Roman" w:hAnsi="Times New Roman" w:eastAsia="宋体"/>
                <w:sz w:val="19"/>
              </w:rPr>
              <w:t>3,481</w:t>
            </w:r>
          </w:p>
        </w:tc>
        <w:tc>
          <w:tcPr>
            <w:tcW w:type="dxa" w:w="1312"/>
          </w:tcPr>
          <w:p>
            <w:pPr>
              <w:jc w:val="center"/>
            </w:pPr>
            <w:r>
              <w:rPr>
                <w:rFonts w:ascii="Times New Roman" w:hAnsi="Times New Roman" w:eastAsia="宋体"/>
                <w:b/>
                <w:sz w:val="19"/>
              </w:rPr>
              <w:t>41.72%</w:t>
            </w:r>
          </w:p>
        </w:tc>
      </w:tr>
      <w:tr>
        <w:tc>
          <w:tcPr>
            <w:tcW w:type="dxa" w:w="1312"/>
          </w:tcPr>
          <w:p>
            <w:pPr>
              <w:jc w:val="center"/>
            </w:pPr>
            <w:r>
              <w:rPr>
                <w:rFonts w:ascii="Times New Roman" w:hAnsi="Times New Roman" w:eastAsia="宋体"/>
                <w:b/>
                <w:sz w:val="19"/>
              </w:rPr>
              <w:t>B001-PDF-02 | 105_Optimal_Coordination_of_Water_Distribution_Energy_Flexibility_With_Power_Systems_Operation.pdf</w:t>
            </w:r>
          </w:p>
        </w:tc>
        <w:tc>
          <w:tcPr>
            <w:tcW w:type="dxa" w:w="1312"/>
          </w:tcPr>
          <w:p>
            <w:pPr>
              <w:jc w:val="center"/>
            </w:pPr>
            <w:r>
              <w:rPr>
                <w:rFonts w:ascii="Times New Roman" w:hAnsi="Times New Roman" w:eastAsia="宋体"/>
                <w:sz w:val="19"/>
              </w:rPr>
              <w:t>IEEE Transactions on Smart Grid (2019)</w:t>
            </w:r>
          </w:p>
        </w:tc>
        <w:tc>
          <w:tcPr>
            <w:tcW w:type="dxa" w:w="1312"/>
          </w:tcPr>
          <w:p>
            <w:pPr>
              <w:jc w:val="center"/>
            </w:pPr>
            <w:r>
              <w:rPr>
                <w:rFonts w:ascii="Times New Roman" w:hAnsi="Times New Roman" w:eastAsia="宋体"/>
                <w:sz w:val="19"/>
              </w:rPr>
              <w:t>10</w:t>
            </w:r>
          </w:p>
        </w:tc>
        <w:tc>
          <w:tcPr>
            <w:tcW w:type="dxa" w:w="1312"/>
          </w:tcPr>
          <w:p>
            <w:pPr>
              <w:jc w:val="center"/>
            </w:pPr>
            <w:r>
              <w:rPr>
                <w:rFonts w:ascii="Times New Roman" w:hAnsi="Times New Roman" w:eastAsia="宋体"/>
                <w:sz w:val="19"/>
              </w:rPr>
              <w:t>8,764</w:t>
            </w:r>
          </w:p>
        </w:tc>
        <w:tc>
          <w:tcPr>
            <w:tcW w:type="dxa" w:w="1312"/>
          </w:tcPr>
          <w:p>
            <w:pPr>
              <w:jc w:val="center"/>
            </w:pPr>
            <w:r>
              <w:rPr>
                <w:rFonts w:ascii="Times New Roman" w:hAnsi="Times New Roman" w:eastAsia="宋体"/>
                <w:sz w:val="19"/>
              </w:rPr>
              <w:t>6,491</w:t>
            </w:r>
          </w:p>
        </w:tc>
        <w:tc>
          <w:tcPr>
            <w:tcW w:type="dxa" w:w="1312"/>
          </w:tcPr>
          <w:p>
            <w:pPr>
              <w:jc w:val="center"/>
            </w:pPr>
            <w:r>
              <w:rPr>
                <w:rFonts w:ascii="Times New Roman" w:hAnsi="Times New Roman" w:eastAsia="宋体"/>
                <w:sz w:val="19"/>
              </w:rPr>
              <w:t>2,273</w:t>
            </w:r>
          </w:p>
        </w:tc>
        <w:tc>
          <w:tcPr>
            <w:tcW w:type="dxa" w:w="1312"/>
          </w:tcPr>
          <w:p>
            <w:pPr>
              <w:jc w:val="center"/>
            </w:pPr>
            <w:r>
              <w:rPr>
                <w:rFonts w:ascii="Times New Roman" w:hAnsi="Times New Roman" w:eastAsia="宋体"/>
                <w:b/>
                <w:sz w:val="19"/>
              </w:rPr>
              <w:t>25.94%</w:t>
            </w:r>
          </w:p>
        </w:tc>
      </w:tr>
      <w:tr>
        <w:tc>
          <w:tcPr>
            <w:tcW w:type="dxa" w:w="1312"/>
          </w:tcPr>
          <w:p>
            <w:pPr>
              <w:jc w:val="center"/>
            </w:pPr>
            <w:r>
              <w:rPr>
                <w:rFonts w:ascii="Times New Roman" w:hAnsi="Times New Roman" w:eastAsia="宋体"/>
                <w:b/>
                <w:sz w:val="19"/>
              </w:rPr>
              <w:t>B001-PDF-03 | 643_Resilience Assessment of Interdependent Infrastructure Systems A Case Study Based on Different Response Strategies.pdf</w:t>
            </w:r>
          </w:p>
        </w:tc>
        <w:tc>
          <w:tcPr>
            <w:tcW w:type="dxa" w:w="1312"/>
          </w:tcPr>
          <w:p>
            <w:pPr>
              <w:jc w:val="center"/>
            </w:pPr>
            <w:r>
              <w:rPr>
                <w:rFonts w:ascii="Times New Roman" w:hAnsi="Times New Roman" w:eastAsia="宋体"/>
                <w:sz w:val="19"/>
              </w:rPr>
              <w:t>Sustainability (2019)</w:t>
            </w:r>
          </w:p>
        </w:tc>
        <w:tc>
          <w:tcPr>
            <w:tcW w:type="dxa" w:w="1312"/>
          </w:tcPr>
          <w:p>
            <w:pPr>
              <w:jc w:val="center"/>
            </w:pPr>
            <w:r>
              <w:rPr>
                <w:rFonts w:ascii="Times New Roman" w:hAnsi="Times New Roman" w:eastAsia="宋体"/>
                <w:sz w:val="19"/>
              </w:rPr>
              <w:t>31</w:t>
            </w:r>
          </w:p>
        </w:tc>
        <w:tc>
          <w:tcPr>
            <w:tcW w:type="dxa" w:w="1312"/>
          </w:tcPr>
          <w:p>
            <w:pPr>
              <w:jc w:val="center"/>
            </w:pPr>
            <w:r>
              <w:rPr>
                <w:rFonts w:ascii="Times New Roman" w:hAnsi="Times New Roman" w:eastAsia="宋体"/>
                <w:sz w:val="19"/>
              </w:rPr>
              <w:t>14,556</w:t>
            </w:r>
          </w:p>
        </w:tc>
        <w:tc>
          <w:tcPr>
            <w:tcW w:type="dxa" w:w="1312"/>
          </w:tcPr>
          <w:p>
            <w:pPr>
              <w:jc w:val="center"/>
            </w:pPr>
            <w:r>
              <w:rPr>
                <w:rFonts w:ascii="Times New Roman" w:hAnsi="Times New Roman" w:eastAsia="宋体"/>
                <w:sz w:val="19"/>
              </w:rPr>
              <w:t>12,057</w:t>
            </w:r>
          </w:p>
        </w:tc>
        <w:tc>
          <w:tcPr>
            <w:tcW w:type="dxa" w:w="1312"/>
          </w:tcPr>
          <w:p>
            <w:pPr>
              <w:jc w:val="center"/>
            </w:pPr>
            <w:r>
              <w:rPr>
                <w:rFonts w:ascii="Times New Roman" w:hAnsi="Times New Roman" w:eastAsia="宋体"/>
                <w:sz w:val="19"/>
              </w:rPr>
              <w:t>2,499</w:t>
            </w:r>
          </w:p>
        </w:tc>
        <w:tc>
          <w:tcPr>
            <w:tcW w:type="dxa" w:w="1312"/>
          </w:tcPr>
          <w:p>
            <w:pPr>
              <w:jc w:val="center"/>
            </w:pPr>
            <w:r>
              <w:rPr>
                <w:rFonts w:ascii="Times New Roman" w:hAnsi="Times New Roman" w:eastAsia="宋体"/>
                <w:b/>
                <w:sz w:val="19"/>
              </w:rPr>
              <w:t>17.17%</w:t>
            </w:r>
          </w:p>
        </w:tc>
      </w:tr>
      <w:tr>
        <w:tc>
          <w:tcPr>
            <w:tcW w:type="dxa" w:w="1312"/>
          </w:tcPr>
          <w:p>
            <w:pPr>
              <w:jc w:val="center"/>
            </w:pPr>
            <w:r>
              <w:rPr>
                <w:rFonts w:ascii="Times New Roman" w:hAnsi="Times New Roman" w:eastAsia="宋体"/>
                <w:b/>
                <w:sz w:val="19"/>
              </w:rPr>
              <w:t>B001-PDF-04 | 46_Resilience_of_Cyber-Enabled_Electrical_Energy_and_Water_Distribution_Systems_Considering_Infrastructural_Robustness_Under_Conditions_of_Limited_Water_and_or_Energy_Availability.pdf</w:t>
            </w:r>
          </w:p>
        </w:tc>
        <w:tc>
          <w:tcPr>
            <w:tcW w:type="dxa" w:w="1312"/>
          </w:tcPr>
          <w:p>
            <w:pPr>
              <w:jc w:val="center"/>
            </w:pPr>
            <w:r>
              <w:rPr>
                <w:rFonts w:ascii="Times New Roman" w:hAnsi="Times New Roman" w:eastAsia="宋体"/>
                <w:sz w:val="19"/>
              </w:rPr>
              <w:t>IEEE Transactions on Engineering Management (2022)</w:t>
            </w:r>
          </w:p>
        </w:tc>
        <w:tc>
          <w:tcPr>
            <w:tcW w:type="dxa" w:w="1312"/>
          </w:tcPr>
          <w:p>
            <w:pPr>
              <w:jc w:val="center"/>
            </w:pPr>
            <w:r>
              <w:rPr>
                <w:rFonts w:ascii="Times New Roman" w:hAnsi="Times New Roman" w:eastAsia="宋体"/>
                <w:sz w:val="19"/>
              </w:rPr>
              <w:t>17</w:t>
            </w:r>
          </w:p>
        </w:tc>
        <w:tc>
          <w:tcPr>
            <w:tcW w:type="dxa" w:w="1312"/>
          </w:tcPr>
          <w:p>
            <w:pPr>
              <w:jc w:val="center"/>
            </w:pPr>
            <w:r>
              <w:rPr>
                <w:rFonts w:ascii="Times New Roman" w:hAnsi="Times New Roman" w:eastAsia="宋体"/>
                <w:sz w:val="19"/>
              </w:rPr>
              <w:t>10,431</w:t>
            </w:r>
          </w:p>
        </w:tc>
        <w:tc>
          <w:tcPr>
            <w:tcW w:type="dxa" w:w="1312"/>
          </w:tcPr>
          <w:p>
            <w:pPr>
              <w:jc w:val="center"/>
            </w:pPr>
            <w:r>
              <w:rPr>
                <w:rFonts w:ascii="Times New Roman" w:hAnsi="Times New Roman" w:eastAsia="宋体"/>
                <w:sz w:val="19"/>
              </w:rPr>
              <w:t>9,015</w:t>
            </w:r>
          </w:p>
        </w:tc>
        <w:tc>
          <w:tcPr>
            <w:tcW w:type="dxa" w:w="1312"/>
          </w:tcPr>
          <w:p>
            <w:pPr>
              <w:jc w:val="center"/>
            </w:pPr>
            <w:r>
              <w:rPr>
                <w:rFonts w:ascii="Times New Roman" w:hAnsi="Times New Roman" w:eastAsia="宋体"/>
                <w:sz w:val="19"/>
              </w:rPr>
              <w:t>1,416</w:t>
            </w:r>
          </w:p>
        </w:tc>
        <w:tc>
          <w:tcPr>
            <w:tcW w:type="dxa" w:w="1312"/>
          </w:tcPr>
          <w:p>
            <w:pPr>
              <w:jc w:val="center"/>
            </w:pPr>
            <w:r>
              <w:rPr>
                <w:rFonts w:ascii="Times New Roman" w:hAnsi="Times New Roman" w:eastAsia="宋体"/>
                <w:b/>
                <w:sz w:val="19"/>
              </w:rPr>
              <w:t>13.57%</w:t>
            </w:r>
          </w:p>
        </w:tc>
      </w:tr>
      <w:tr>
        <w:tc>
          <w:tcPr>
            <w:tcW w:type="dxa" w:w="1312"/>
          </w:tcPr>
          <w:p>
            <w:pPr>
              <w:jc w:val="center"/>
            </w:pPr>
            <w:r>
              <w:rPr>
                <w:rFonts w:ascii="Times New Roman" w:hAnsi="Times New Roman" w:eastAsia="宋体"/>
                <w:b/>
                <w:sz w:val="19"/>
              </w:rPr>
              <w:t>B001-PDF-05 | 37_Quantifying the dependent failure of urban power-water supply systems under earthquake hazards from the perspective of energy transfer.pdf</w:t>
            </w:r>
          </w:p>
        </w:tc>
        <w:tc>
          <w:tcPr>
            <w:tcW w:type="dxa" w:w="1312"/>
          </w:tcPr>
          <w:p>
            <w:pPr>
              <w:jc w:val="center"/>
            </w:pPr>
            <w:r>
              <w:rPr>
                <w:rFonts w:ascii="Times New Roman" w:hAnsi="Times New Roman" w:eastAsia="宋体"/>
                <w:sz w:val="19"/>
              </w:rPr>
              <w:t>Reliability Engineering and System Safety (2027)</w:t>
            </w:r>
          </w:p>
        </w:tc>
        <w:tc>
          <w:tcPr>
            <w:tcW w:type="dxa" w:w="1312"/>
          </w:tcPr>
          <w:p>
            <w:pPr>
              <w:jc w:val="center"/>
            </w:pPr>
            <w:r>
              <w:rPr>
                <w:rFonts w:ascii="Times New Roman" w:hAnsi="Times New Roman" w:eastAsia="宋体"/>
                <w:sz w:val="19"/>
              </w:rPr>
              <w:t>15</w:t>
            </w:r>
          </w:p>
        </w:tc>
        <w:tc>
          <w:tcPr>
            <w:tcW w:type="dxa" w:w="1312"/>
          </w:tcPr>
          <w:p>
            <w:pPr>
              <w:jc w:val="center"/>
            </w:pPr>
            <w:r>
              <w:rPr>
                <w:rFonts w:ascii="Times New Roman" w:hAnsi="Times New Roman" w:eastAsia="宋体"/>
                <w:sz w:val="19"/>
              </w:rPr>
              <w:t>10,151</w:t>
            </w:r>
          </w:p>
        </w:tc>
        <w:tc>
          <w:tcPr>
            <w:tcW w:type="dxa" w:w="1312"/>
          </w:tcPr>
          <w:p>
            <w:pPr>
              <w:jc w:val="center"/>
            </w:pPr>
            <w:r>
              <w:rPr>
                <w:rFonts w:ascii="Times New Roman" w:hAnsi="Times New Roman" w:eastAsia="宋体"/>
                <w:sz w:val="19"/>
              </w:rPr>
              <w:t>7,081</w:t>
            </w:r>
          </w:p>
        </w:tc>
        <w:tc>
          <w:tcPr>
            <w:tcW w:type="dxa" w:w="1312"/>
          </w:tcPr>
          <w:p>
            <w:pPr>
              <w:jc w:val="center"/>
            </w:pPr>
            <w:r>
              <w:rPr>
                <w:rFonts w:ascii="Times New Roman" w:hAnsi="Times New Roman" w:eastAsia="宋体"/>
                <w:sz w:val="19"/>
              </w:rPr>
              <w:t>3,070</w:t>
            </w:r>
          </w:p>
        </w:tc>
        <w:tc>
          <w:tcPr>
            <w:tcW w:type="dxa" w:w="1312"/>
          </w:tcPr>
          <w:p>
            <w:pPr>
              <w:jc w:val="center"/>
            </w:pPr>
            <w:r>
              <w:rPr>
                <w:rFonts w:ascii="Times New Roman" w:hAnsi="Times New Roman" w:eastAsia="宋体"/>
                <w:b/>
                <w:sz w:val="19"/>
              </w:rPr>
              <w:t>30.24%</w:t>
            </w:r>
          </w:p>
        </w:tc>
      </w:tr>
    </w:tbl>
    <w:p>
      <w:pPr>
        <w:spacing w:before="280" w:after="120"/>
      </w:pPr>
      <w:r>
        <w:rPr>
          <w:rFonts w:ascii="Times New Roman" w:hAnsi="Times New Roman" w:eastAsia="微软雅黑"/>
          <w:b/>
          <w:color w:val="1F4E79"/>
          <w:sz w:val="24"/>
        </w:rPr>
        <w:t>■ B001-PDF-01：Optimal energy management of a renewable microgrid integrating water supply systems (Electrical Power and Energy Systems (2021))</w:t>
      </w:r>
    </w:p>
    <w:p>
      <w:pPr>
        <w:spacing w:after="80"/>
      </w:pPr>
      <w:r>
        <w:rPr>
          <w:rFonts w:ascii="Times New Roman" w:hAnsi="Times New Roman" w:eastAsia="宋体"/>
          <w:sz w:val="19"/>
        </w:rPr>
        <w:t>• 四区词数分布：Zone A (摘要与核心贡献) = 659 词 | Zone B (耦合与级联机理) = 2439 词 | Zone C (指标与仿真结果) = 1316 词 | Zone D (算例背景、讨论与局限) = 448 词。</w:t>
        <w:br/>
        <w:t>• 自动剥离噪声项：1.1. Literature review (1479词)；Declaration of Competing Interest (28词)；Acknowledgments (572词)；References (1402词)</w:t>
      </w:r>
    </w:p>
    <w:p>
      <w:pPr>
        <w:spacing w:before="80" w:after="40"/>
      </w:pPr>
      <w:r>
        <w:rPr>
          <w:rFonts w:ascii="Times New Roman" w:hAnsi="Times New Roman" w:eastAsia="微软雅黑"/>
          <w:b/>
          <w:color w:val="2F5597"/>
          <w:sz w:val="19"/>
        </w:rPr>
        <w:t>【Zone A 切片采样（元数据、摘要与导言末段核心贡献）】：</w:t>
        <w:br/>
      </w:r>
      <w:r>
        <w:rPr>
          <w:rFonts w:ascii="Times New Roman" w:hAnsi="Times New Roman" w:eastAsia="宋体"/>
          <w:color w:val="404040"/>
          <w:sz w:val="18"/>
        </w:rPr>
        <w:t>[Document Metadata] Title: Optimal energy management of a renewable microgrid integrating water supply systems | Authors: Quan Sui, Fanrong Wei, Xiangning Lin, Zhengtian Li⁎ | Journal: Electrical Power and Energy Systems (2021) | DOI: 10.1016/j.ijepes.2020.106445 | Keywords: Microgrid; Water supply system; Water supply safety; Two-stage dispatching strategy  [Page 1] [Abstract] The interdependence between the power grid and water supply system (WSS) provides opportunities for energy conservation. However, the existing water supply flexibility has not been fully developed, resulting in an unsatisfactory effect. To address the problem, this pap ...</w:t>
      </w:r>
    </w:p>
    <w:p>
      <w:pPr>
        <w:spacing w:before="80" w:after="40"/>
      </w:pPr>
      <w:r>
        <w:rPr>
          <w:rFonts w:ascii="Times New Roman" w:hAnsi="Times New Roman" w:eastAsia="微软雅黑"/>
          <w:b/>
          <w:color w:val="2F5597"/>
          <w:sz w:val="19"/>
        </w:rPr>
        <w:t>【Zone B 切片采样（水-电耦合机理与级联模型章节，带页码锚点）】：</w:t>
        <w:br/>
      </w:r>
      <w:r>
        <w:rPr>
          <w:rFonts w:ascii="Times New Roman" w:hAnsi="Times New Roman" w:eastAsia="宋体"/>
          <w:color w:val="404040"/>
          <w:sz w:val="18"/>
        </w:rPr>
        <w:t>### 2. Materials and methods (Pages 3-3) [Page 3] Fig. 1 shows the typical structure of a renewable MG integrating WSSs. Due to the existence of tanks and reservoirs, the water supply load can respond to the MG and EG demand while satisfying the hydraulic usage demand. To achieve an optimal performance of the MG integrating WSSs, a novel water-energy management strategy is proposed in this paper.  ### 2.1. Novel water supply model (Pages 3-4) [Page 3] Fig. 2 shows a novel water supply mode. The WSS consists of a DD, reservoirs, WPs, WTs, water pipes, and water usage loads. Living water is produced by the DD and stored in the reservoir. WPs can distribute water in the source to the hydraulic load, and WTs are used to regulate the pipe flow b ...</w:t>
      </w:r>
    </w:p>
    <w:p>
      <w:pPr>
        <w:spacing w:before="80" w:after="40"/>
      </w:pPr>
      <w:r>
        <w:rPr>
          <w:rFonts w:ascii="Times New Roman" w:hAnsi="Times New Roman" w:eastAsia="微软雅黑"/>
          <w:b/>
          <w:color w:val="2F5597"/>
          <w:sz w:val="19"/>
        </w:rPr>
        <w:t>【Zone C 切片采样（级联功能损失指标与仿真结果分析章节）】：</w:t>
        <w:br/>
      </w:r>
      <w:r>
        <w:rPr>
          <w:rFonts w:ascii="Times New Roman" w:hAnsi="Times New Roman" w:eastAsia="宋体"/>
          <w:color w:val="404040"/>
          <w:sz w:val="18"/>
        </w:rPr>
        <w:t>### 3. Experimental results and discussion (Pages 6-6)   ### 3.2.1. Energy consumption analysis (Pages 6-7) [Page 6] 1) Typical scenario in summer Fig. 7 shows that the electricity consumption of the controllable loads in three cases in summer. As observed from the figure, the controllable loads in case 3 are shifted to carry out energy arbitrage by consuming more low-price electricity and less high-price electricity. Unlike this, the controllable loads in case 1 and 2 closely follow the abundant renewable generation. However, compared with those in case 2, the energy consumption of the controllable loads in case 1 is more elastic. Therefore, ...</w:t>
      </w:r>
    </w:p>
    <w:p>
      <w:pPr>
        <w:spacing w:before="80" w:after="40"/>
      </w:pPr>
      <w:r>
        <w:rPr>
          <w:rFonts w:ascii="Times New Roman" w:hAnsi="Times New Roman" w:eastAsia="微软雅黑"/>
          <w:b/>
          <w:color w:val="2F5597"/>
          <w:sz w:val="19"/>
        </w:rPr>
        <w:t>【Zone D 切片采样（算例描述、讨论与文末局限性展望章节）】：</w:t>
        <w:br/>
      </w:r>
      <w:r>
        <w:rPr>
          <w:rFonts w:ascii="Times New Roman" w:hAnsi="Times New Roman" w:eastAsia="宋体"/>
          <w:color w:val="404040"/>
          <w:sz w:val="18"/>
        </w:rPr>
        <w:t>rbitrage, power smoothing while supporting the external grid simultaneously. The novel water supply model can significantly improve the operational flexibility of the DD and WP. The desalination loss and water distribution loss can be reduced by more than 7.1% and 5.2%, respectively. Additionally, using the proposed scheduling strategy, the operational cost of the MG integrating WSSs can be reduced by 19.5%. The hydraulic and electric stability can also be ensured. However, some technical details neglected in the theoretical discussion of this paper may be of great importance in practical application. Therefore, we will conduct a real case study in the future. Additionally, the extreme weather significantly affects the reliability of the power supply. The resilience of power gird integrating water supply systems will also our future work.</w:t>
      </w:r>
    </w:p>
    <w:p>
      <w:pPr>
        <w:spacing w:before="280" w:after="120"/>
      </w:pPr>
      <w:r>
        <w:rPr>
          <w:rFonts w:ascii="Times New Roman" w:hAnsi="Times New Roman" w:eastAsia="微软雅黑"/>
          <w:b/>
          <w:color w:val="1F4E79"/>
          <w:sz w:val="24"/>
        </w:rPr>
        <w:t>■ B001-PDF-02：Optimal Coordination of Water Distribution Energy Flexibility With Power Systems Operation (IEEE Transactions on Smart Grid (2019))</w:t>
      </w:r>
    </w:p>
    <w:p>
      <w:pPr>
        <w:spacing w:after="80"/>
      </w:pPr>
      <w:r>
        <w:rPr>
          <w:rFonts w:ascii="Times New Roman" w:hAnsi="Times New Roman" w:eastAsia="宋体"/>
          <w:sz w:val="19"/>
        </w:rPr>
        <w:t>• 四区词数分布：Zone A (摘要与核心贡献) = 994 词 | Zone B (耦合与级联机理) = 3403 词 | Zone C (指标与仿真结果) = 1787 词 | Zone D (算例背景、讨论与局限) = 307 词。</w:t>
        <w:br/>
        <w:t>• 自动剥离噪声项：I. INTRODUCTION (Early Background Review Part) (316词)；A. Background on Water-Energy Nexus (642词)；REFERENCES (1315词)</w:t>
      </w:r>
    </w:p>
    <w:p>
      <w:pPr>
        <w:spacing w:before="80" w:after="40"/>
      </w:pPr>
      <w:r>
        <w:rPr>
          <w:rFonts w:ascii="Times New Roman" w:hAnsi="Times New Roman" w:eastAsia="微软雅黑"/>
          <w:b/>
          <w:color w:val="2F5597"/>
          <w:sz w:val="19"/>
        </w:rPr>
        <w:t>【Zone A 切片采样（元数据、摘要与导言末段核心贡献）】：</w:t>
        <w:br/>
      </w:r>
      <w:r>
        <w:rPr>
          <w:rFonts w:ascii="Times New Roman" w:hAnsi="Times New Roman" w:eastAsia="宋体"/>
          <w:color w:val="404040"/>
          <w:sz w:val="18"/>
        </w:rPr>
        <w:t>[Document Metadata] Title: Optimal Coordination of Water Distribution Energy Flexibility With Power Systems Operation | Authors: Konstantinos Oikonomou and Masood Parvania | Journal: IEEE Transactions on Smart Grid (2019) | DOI: 10.1109/TSG.2018.2824308 | Keywords: Water distribution systems, energy ﬂexibility, mixed-integer linear programming, unit commitment, demand response, water-energy nexus  [Page 1] [Abstract] This paper proposes a model for optimizing the energy ﬂexibility of water distribution systems (WDSs) in dayahead power systems operation. The water distribution system operators (W-DSOs) are considered as energy-conscious entiti ...</w:t>
      </w:r>
    </w:p>
    <w:p>
      <w:pPr>
        <w:spacing w:before="80" w:after="40"/>
      </w:pPr>
      <w:r>
        <w:rPr>
          <w:rFonts w:ascii="Times New Roman" w:hAnsi="Times New Roman" w:eastAsia="微软雅黑"/>
          <w:b/>
          <w:color w:val="2F5597"/>
          <w:sz w:val="19"/>
        </w:rPr>
        <w:t>【Zone B 切片采样（水-电耦合机理与级联模型章节，带页码锚点）】：</w:t>
        <w:br/>
      </w:r>
      <w:r>
        <w:rPr>
          <w:rFonts w:ascii="Times New Roman" w:hAnsi="Times New Roman" w:eastAsia="宋体"/>
          <w:color w:val="404040"/>
          <w:sz w:val="18"/>
        </w:rPr>
        <w:t>### II. WATER DISTRIBUTION SYSTEM OPERATION (Pages 2-3) [Page 2] In this section, we present the proposed model to optimize the operation of W-DSOs. The proposed WDS operation optimization problem models the components of the water dis-tribution network (including pipes, water pumps, water tanks, reservoirs and water loads) and its associated hydraulic con-straints in detail. The schematic diagram of WDS and the associated hydraulic components are illustrated in Fig. 2. From a mathematical point of view, a WDS is represented by a [Page 3] Fig. 2. Schematic diagram of water distribution system components. directed graph G = (N, J ), where N is the set of N nodes representing R reservoirs and T tanks, and J is the set of J arcs comprising S p ...</w:t>
      </w:r>
    </w:p>
    <w:p>
      <w:pPr>
        <w:spacing w:before="80" w:after="40"/>
      </w:pPr>
      <w:r>
        <w:rPr>
          <w:rFonts w:ascii="Times New Roman" w:hAnsi="Times New Roman" w:eastAsia="微软雅黑"/>
          <w:b/>
          <w:color w:val="2F5597"/>
          <w:sz w:val="19"/>
        </w:rPr>
        <w:t>【Zone C 切片采样（级联功能损失指标与仿真结果分析章节）】：</w:t>
        <w:br/>
      </w:r>
      <w:r>
        <w:rPr>
          <w:rFonts w:ascii="Times New Roman" w:hAnsi="Times New Roman" w:eastAsia="宋体"/>
          <w:color w:val="404040"/>
          <w:sz w:val="18"/>
        </w:rPr>
        <w:t>### V. STUDY RESULTS (Pages 6-8) [Page 6] The proposed model to integrate the energy ﬂexibility of WDSs in power systems operation is implemented on the 6-bus test power system shown in Fig. 5. The 6-bus system sup-plies the energy consumption of three identical test WDSs connected to the three load buses 3, 4 and 5. The test WDS, shown in Fig. 6, includes 15 nodes, 14 arcs (including 11 pipes and 3 pumps in arcs 1, 4, 8), 2 tanks in nodes 10, 13, three water load junctions (nodes 3, 11, 15) and one reservoir (node 1) representing the only water source to the system. The data for the 6-bus power system and the test WDS are respectively availa ...</w:t>
      </w:r>
    </w:p>
    <w:p>
      <w:pPr>
        <w:spacing w:before="80" w:after="40"/>
      </w:pPr>
      <w:r>
        <w:rPr>
          <w:rFonts w:ascii="Times New Roman" w:hAnsi="Times New Roman" w:eastAsia="微软雅黑"/>
          <w:b/>
          <w:color w:val="2F5597"/>
          <w:sz w:val="19"/>
        </w:rPr>
        <w:t>【Zone D 切片采样（算例描述、讨论与文末局限性展望章节）】：</w:t>
        <w:br/>
      </w:r>
      <w:r>
        <w:rPr>
          <w:rFonts w:ascii="Times New Roman" w:hAnsi="Times New Roman" w:eastAsia="宋体"/>
          <w:color w:val="404040"/>
          <w:sz w:val="18"/>
        </w:rPr>
        <w:t>DS energy ﬂexibility reduces the operation cost of the power system, reduce the peak electricity demand, smooth out the load proﬁle, and reduce the electric-ity prices. These beneﬁts are maximized when the available WDS energy ﬂexibility is optimized by the power system oper-ator. The studies also show that the beneﬁts for power systems are more prominent when more W-DSOs agree to offer and coordinate their energy ﬂexibility with the power system oper-ator. The results indicate that the proposed MILP model has led to computationally efﬁcient solutions that are in accept-able range of the original NLP model solutions. Future works may include expanding the proposed model to a stochastic optimization model, which would account for the uncertain-ties in the wholesale energy prices, as well as the uncertainty of water demand forecast of WDSs.</w:t>
      </w:r>
    </w:p>
    <w:p>
      <w:pPr>
        <w:spacing w:before="280" w:after="120"/>
      </w:pPr>
      <w:r>
        <w:rPr>
          <w:rFonts w:ascii="Times New Roman" w:hAnsi="Times New Roman" w:eastAsia="微软雅黑"/>
          <w:b/>
          <w:color w:val="1F4E79"/>
          <w:sz w:val="24"/>
        </w:rPr>
        <w:t>■ B001-PDF-03：Resilience Assessment of Interdependent Infrastructure Systems: A Case Study Based on Different Response Strategies (Sustainability (2019))</w:t>
      </w:r>
    </w:p>
    <w:p>
      <w:pPr>
        <w:spacing w:after="80"/>
      </w:pPr>
      <w:r>
        <w:rPr>
          <w:rFonts w:ascii="Times New Roman" w:hAnsi="Times New Roman" w:eastAsia="宋体"/>
          <w:sz w:val="19"/>
        </w:rPr>
        <w:t>• 四区词数分布：Zone A (摘要与核心贡献) = 521 词 | Zone B (耦合与级联机理) = 6381 词 | Zone C (指标与仿真结果) = 3385 词 | Zone D (算例背景、讨论与局限) = 1770 词。</w:t>
        <w:br/>
        <w:t>• 自动剥离噪声项：1. Introduction (Early Background Review Part) (1136词)；References (1363词)</w:t>
      </w:r>
    </w:p>
    <w:p>
      <w:pPr>
        <w:spacing w:before="80" w:after="40"/>
      </w:pPr>
      <w:r>
        <w:rPr>
          <w:rFonts w:ascii="Times New Roman" w:hAnsi="Times New Roman" w:eastAsia="微软雅黑"/>
          <w:b/>
          <w:color w:val="2F5597"/>
          <w:sz w:val="19"/>
        </w:rPr>
        <w:t>【Zone A 切片采样（元数据、摘要与导言末段核心贡献）】：</w:t>
        <w:br/>
      </w:r>
      <w:r>
        <w:rPr>
          <w:rFonts w:ascii="Times New Roman" w:hAnsi="Times New Roman" w:eastAsia="宋体"/>
          <w:color w:val="404040"/>
          <w:sz w:val="18"/>
        </w:rPr>
        <w:t>[Document Metadata] Title: Resilience Assessment of Interdependent Infrastructure Systems: A Case Study Based on Different Response Strategies | Authors: Jingjing Kong 1, Slobodan P. Simonovic 1 and Chao Zhang 2,* | Journal: Sustainability (2019) | DOI: 10.3390/su11236552 | Keywords: resilience; infrastructure system; multilayer network; infrastructure interdependence; restoration strategy  [Page 1] [Abstract] Resilient infrastructure systems are essential for continuous and reliable functioning of social and economic systems. Taking advantage of network theory, this paper models street network, water supply network, power grid and informatio ...</w:t>
      </w:r>
    </w:p>
    <w:p>
      <w:pPr>
        <w:spacing w:before="80" w:after="40"/>
      </w:pPr>
      <w:r>
        <w:rPr>
          <w:rFonts w:ascii="Times New Roman" w:hAnsi="Times New Roman" w:eastAsia="微软雅黑"/>
          <w:b/>
          <w:color w:val="2F5597"/>
          <w:sz w:val="19"/>
        </w:rPr>
        <w:t>【Zone B 切片采样（水-电耦合机理与级联模型章节，带页码锚点）】：</w:t>
        <w:br/>
      </w:r>
      <w:r>
        <w:rPr>
          <w:rFonts w:ascii="Times New Roman" w:hAnsi="Times New Roman" w:eastAsia="宋体"/>
          <w:color w:val="404040"/>
          <w:sz w:val="18"/>
        </w:rPr>
        <w:t>### 2. Infrastructure Network Formalization (Pages 3-3)   ### 2.1. Infrastructure Network Representation (Pages 3-4) [Page 3] Sustainability 2019, 11, 6552 3 of 31 failures within and across multiple systems to estimate system-level vulnerability, with only a few putting emphases on recovery processes to evaluate system-level resilience [26,29]. Few published studies analyze the whole process resilience of integral infrastructure system with interdependences, and seldom address resilience from proactive absorptive capacity and reactive restorative capacity perspective [29]. In this paper, a generic network model resilience is developed based on the deﬁnition from [15], which is derived from the work of MCEER (Multidisciplinary Center for Ea ...</w:t>
      </w:r>
    </w:p>
    <w:p>
      <w:pPr>
        <w:spacing w:before="80" w:after="40"/>
      </w:pPr>
      <w:r>
        <w:rPr>
          <w:rFonts w:ascii="Times New Roman" w:hAnsi="Times New Roman" w:eastAsia="微软雅黑"/>
          <w:b/>
          <w:color w:val="2F5597"/>
          <w:sz w:val="19"/>
        </w:rPr>
        <w:t>【Zone C 切片采样（级联功能损失指标与仿真结果分析章节）】：</w:t>
        <w:br/>
      </w:r>
      <w:r>
        <w:rPr>
          <w:rFonts w:ascii="Times New Roman" w:hAnsi="Times New Roman" w:eastAsia="宋体"/>
          <w:color w:val="404040"/>
          <w:sz w:val="18"/>
        </w:rPr>
        <w:t>### 3.3. Dynamic Infrastructure System Resilience Metric (Pages 11-13) [Page 11] PA (T): Rap : 1RE −tφ 1O, (12) 2O −tφ 1O, (13) ⟦PDF_GLYPH_U+001B⟧ Rφ,ζ1 . (14) Rap Sustainability 2019, 11, 6552 11 of 31 the main ﬁgure-of-merit to evaluate proactive restorative capacity. In this research, the duration of system recovery is used to denote rapidity, repressed as Rφ,ζ1 1RE is the time when infrastructure network φ recovers to the operational level equal to the 1O is the occurrence time of the disturbance ζ1. tφ 2O is the occurrence time of the disturbance ζ2. Equation (12) is used in situations with one disturbance event and Equation (13) in the  ...</w:t>
      </w:r>
    </w:p>
    <w:p>
      <w:pPr>
        <w:spacing w:before="80" w:after="40"/>
      </w:pPr>
      <w:r>
        <w:rPr>
          <w:rFonts w:ascii="Times New Roman" w:hAnsi="Times New Roman" w:eastAsia="微软雅黑"/>
          <w:b/>
          <w:color w:val="2F5597"/>
          <w:sz w:val="19"/>
        </w:rPr>
        <w:t>【Zone D 切片采样（算例描述、讨论与文末局限性展望章节）】：</w:t>
        <w:br/>
      </w:r>
      <w:r>
        <w:rPr>
          <w:rFonts w:ascii="Times New Roman" w:hAnsi="Times New Roman" w:eastAsia="宋体"/>
          <w:color w:val="404040"/>
          <w:sz w:val="18"/>
        </w:rPr>
        <w:t>s, J.K.; data curation, C.Z.; writing—original draft preparation, J.K.; writing—review and editing, S.P.S.; visualization, C.Z.; supervision, S.P.S.; project administration, J.K.; funding acquisition, S.P.S. Funding: This research was funded by the Natural Sciences and Engineering Research Council (NSERC) of Canada, the Natural Science Foundation of China under Grant No. 71704111, Shanghai Science and Technology Development Funds under Grant No. 19692107300, 19ZR1417300, and 18ZR1413200, National Key Research and Development Project of China under Grant No. 2018YFB1503100, Science and Technology Project of State Grid Corporation of China under Grant No. SGJSJY00GHJS1900066, and Institute of Free Trade Zone of SUFE and Shanghai Education Committee under Grant No. 2019110183. Conﬂicts of Interest: The authors declare no conﬂict of interest.</w:t>
      </w:r>
    </w:p>
    <w:p>
      <w:pPr>
        <w:spacing w:before="280" w:after="120"/>
      </w:pPr>
      <w:r>
        <w:rPr>
          <w:rFonts w:ascii="Times New Roman" w:hAnsi="Times New Roman" w:eastAsia="微软雅黑"/>
          <w:b/>
          <w:color w:val="1F4E79"/>
          <w:sz w:val="24"/>
        </w:rPr>
        <w:t>■ B001-PDF-04：Resilience of Cyber-Enabled Electrical Energy and Water Distribution Systems Considering Infrastructural Robustness Under Conditions of Limited Water and/or Energy Availability (IEEE Transactions on Engineering Management (2022))</w:t>
      </w:r>
    </w:p>
    <w:p>
      <w:pPr>
        <w:spacing w:after="80"/>
      </w:pPr>
      <w:r>
        <w:rPr>
          <w:rFonts w:ascii="Times New Roman" w:hAnsi="Times New Roman" w:eastAsia="宋体"/>
          <w:sz w:val="19"/>
        </w:rPr>
        <w:t>• 四区词数分布：Zone A (摘要与核心贡献) = 429 词 | Zone B (耦合与级联机理) = 1444 词 | Zone C (指标与仿真结果) = 6180 词 | Zone D (算例背景、讨论与局限) = 962 词。</w:t>
        <w:br/>
        <w:t>• 自动剥离噪声项：I. INTRODUCTION (Early Background Review Part) (239词)；ACKNOWLEDGMENT (30词)；REFERENCES (1147词)</w:t>
      </w:r>
    </w:p>
    <w:p>
      <w:pPr>
        <w:spacing w:before="80" w:after="40"/>
      </w:pPr>
      <w:r>
        <w:rPr>
          <w:rFonts w:ascii="Times New Roman" w:hAnsi="Times New Roman" w:eastAsia="微软雅黑"/>
          <w:b/>
          <w:color w:val="2F5597"/>
          <w:sz w:val="19"/>
        </w:rPr>
        <w:t>【Zone A 切片采样（元数据、摘要与导言末段核心贡献）】：</w:t>
        <w:br/>
      </w:r>
      <w:r>
        <w:rPr>
          <w:rFonts w:ascii="Times New Roman" w:hAnsi="Times New Roman" w:eastAsia="宋体"/>
          <w:color w:val="404040"/>
          <w:sz w:val="18"/>
        </w:rPr>
        <w:t>[Document Metadata] Title: Resilience of Cyber-Enabled Electrical Energy and Water Distribution Systems Considering Infrastructural Robustness Under Conditions of Limited Water and/or Energy Availability | Authors: Scott Zuloaga, Puneet Khatavkar, Larry Mays and Vijay Vittal | Journal: IEEE Transactions on Engineering Management (2022) | DOI: 10.1109/TEM.2019.2937728 | Keywords: Electric power system (EPS), extended timedomain simulations, infrastructural resilience (IR), operational resilience (OR), real-time operations, water distribution systems (WDS), water energy nexus  [Page 1] [Abstract] New metrics and a new methodology for determinin ...</w:t>
      </w:r>
    </w:p>
    <w:p>
      <w:pPr>
        <w:spacing w:before="80" w:after="40"/>
      </w:pPr>
      <w:r>
        <w:rPr>
          <w:rFonts w:ascii="Times New Roman" w:hAnsi="Times New Roman" w:eastAsia="微软雅黑"/>
          <w:b/>
          <w:color w:val="2F5597"/>
          <w:sz w:val="19"/>
        </w:rPr>
        <w:t>【Zone B 切片采样（水-电耦合机理与级联模型章节，带页码锚点）】：</w:t>
        <w:br/>
      </w:r>
      <w:r>
        <w:rPr>
          <w:rFonts w:ascii="Times New Roman" w:hAnsi="Times New Roman" w:eastAsia="宋体"/>
          <w:color w:val="404040"/>
          <w:sz w:val="18"/>
        </w:rPr>
        <w:t>### A. Deﬁnition of OR and IR for WDS and EPS Systems (Pages 3-4) [Page 3] 1) Resilience of Critical Infrastructure Systems: Increasing attention had been paid to resilience calculations for critical infrastructure systems. The US National Infrastructure Advi-sory Council broadly deﬁnes resilience [2] with four distinct characteristics in the context of critical infrastructure systems. 1) Robustness—encompasses the ability of a system to remain operable after contingencies occur. Fig. 1. Resilience computation methodology. 2) Resourcefulness—the ability to manage disasters. 3) Rapid recovery—the ability to manage disasters, limit the impact, and return to predisaster operating conditions. 4) Adaptability within the system and its operating  ...</w:t>
      </w:r>
    </w:p>
    <w:p>
      <w:pPr>
        <w:spacing w:before="80" w:after="40"/>
      </w:pPr>
      <w:r>
        <w:rPr>
          <w:rFonts w:ascii="Times New Roman" w:hAnsi="Times New Roman" w:eastAsia="微软雅黑"/>
          <w:b/>
          <w:color w:val="2F5597"/>
          <w:sz w:val="19"/>
        </w:rPr>
        <w:t>【Zone C 切片采样（级联功能损失指标与仿真结果分析章节）】：</w:t>
        <w:br/>
      </w:r>
      <w:r>
        <w:rPr>
          <w:rFonts w:ascii="Times New Roman" w:hAnsi="Times New Roman" w:eastAsia="宋体"/>
          <w:color w:val="404040"/>
          <w:sz w:val="18"/>
        </w:rPr>
        <w:t>### III. OR INDEX FUNCTIONS FOR WDS AND EPS (Pages 5-5) [Page 5] OR is a weighted metric that accounts for the pressure, pump power, and demand satisfaction for WDS; voltage, transmission line thermal limits, thermoelectric generation cooling water, and load supply for the EPS. Index functions are deﬁned as indices that allow for the current system conditions to be gauged in terms of the selected operational parameters. The index functions for both WDS and EPS are deﬁned in this section.  ### A. WDS: Pressure Function (Pages 5-5) [Page 5] Pressure bounds are an important performance assessment criterion for WDS operations. During emergency co ...</w:t>
      </w:r>
    </w:p>
    <w:p>
      <w:pPr>
        <w:spacing w:before="80" w:after="40"/>
      </w:pPr>
      <w:r>
        <w:rPr>
          <w:rFonts w:ascii="Times New Roman" w:hAnsi="Times New Roman" w:eastAsia="微软雅黑"/>
          <w:b/>
          <w:color w:val="2F5597"/>
          <w:sz w:val="19"/>
        </w:rPr>
        <w:t>【Zone D 切片采样（算例描述、讨论与文末局限性展望章节）】：</w:t>
        <w:br/>
      </w:r>
      <w:r>
        <w:rPr>
          <w:rFonts w:ascii="Times New Roman" w:hAnsi="Times New Roman" w:eastAsia="宋体"/>
          <w:color w:val="404040"/>
          <w:sz w:val="18"/>
        </w:rPr>
        <w:t>ilience calculations for the test systems shown are not computationally expensive (total calculation time of 1.37s for EPS + 1.90s for WDS = 3.27s total), it seems that the IOR computation methodology could be used for both postsimulation as well as real-time EPS–WDS perfor-mance assessment. Therefore, future work will involve applica-tion of the developed IOR computation methodology to larger WDS and EPS test systems. The scalability of the proposed metrics is currently being investigated for larger test systems and will be incorporated in future research. Moving the ap-plication toward larger, more realistic test systems also war-rants the inclusions of a developed middleware architecture, which emulates the supervisory control and data acquisition (SCADA) communication that would be necessary for data exchange between the two networks.</w:t>
      </w:r>
    </w:p>
    <w:p>
      <w:pPr>
        <w:spacing w:before="280" w:after="120"/>
      </w:pPr>
      <w:r>
        <w:rPr>
          <w:rFonts w:ascii="Times New Roman" w:hAnsi="Times New Roman" w:eastAsia="微软雅黑"/>
          <w:b/>
          <w:color w:val="1F4E79"/>
          <w:sz w:val="24"/>
        </w:rPr>
        <w:t>■ B001-PDF-05：Quantifying the dependent failure of urban power-water supply systems under earthquake hazards from the perspective of energy transfer (Reliability Engineering and System Safety (2027))</w:t>
      </w:r>
    </w:p>
    <w:p>
      <w:pPr>
        <w:spacing w:after="80"/>
      </w:pPr>
      <w:r>
        <w:rPr>
          <w:rFonts w:ascii="Times New Roman" w:hAnsi="Times New Roman" w:eastAsia="宋体"/>
          <w:sz w:val="19"/>
        </w:rPr>
        <w:t>• 四区词数分布：Zone A (摘要与核心贡献) = 492 词 | Zone B (耦合与级联机理) = 974 词 | Zone C (指标与仿真结果) = 4513 词 | Zone D (算例背景、讨论与局限) = 1102 词。</w:t>
        <w:br/>
        <w:t>• 自动剥离噪声项：1. Introduction (Early Background Review Part) (1472词)；CRediT authorship contribution statement (31词)；Declaration of competing interest (28词)；Acknowledgment (18词)；Data availability (9词)；References (1512词)</w:t>
      </w:r>
    </w:p>
    <w:p>
      <w:pPr>
        <w:spacing w:before="80" w:after="40"/>
      </w:pPr>
      <w:r>
        <w:rPr>
          <w:rFonts w:ascii="Times New Roman" w:hAnsi="Times New Roman" w:eastAsia="微软雅黑"/>
          <w:b/>
          <w:color w:val="2F5597"/>
          <w:sz w:val="19"/>
        </w:rPr>
        <w:t>【Zone A 切片采样（元数据、摘要与导言末段核心贡献）】：</w:t>
        <w:br/>
      </w:r>
      <w:r>
        <w:rPr>
          <w:rFonts w:ascii="Times New Roman" w:hAnsi="Times New Roman" w:eastAsia="宋体"/>
          <w:color w:val="404040"/>
          <w:sz w:val="18"/>
        </w:rPr>
        <w:t>[Document Metadata] Title: Quantifying the dependent failure of urban power-water supply systems under earthquake hazards from the perspective of energy transfer | Authors: Tianhe Ma, Chengshun Xu, Benwei Hou * | Journal: Reliability Engineering and System Safety (2027) | DOI: 10.1016/j.ress.2026.113363 | Keywords: Power-water supply system,Seismic performance,Dependent failure,Energy transfer,Functionality analysis  [Page 1] [Abstract] Urban power-water systems (PWSs) exhibit complex dependence that exacerbates the degradation of their infrastructure service capacity under earthquake hazards. Existing earthquake risk analysis frameworks for  ...</w:t>
      </w:r>
    </w:p>
    <w:p>
      <w:pPr>
        <w:spacing w:before="80" w:after="40"/>
      </w:pPr>
      <w:r>
        <w:rPr>
          <w:rFonts w:ascii="Times New Roman" w:hAnsi="Times New Roman" w:eastAsia="微软雅黑"/>
          <w:b/>
          <w:color w:val="2F5597"/>
          <w:sz w:val="19"/>
        </w:rPr>
        <w:t>【Zone B 切片采样（水-电耦合机理与级联模型章节，带页码锚点）】：</w:t>
        <w:br/>
      </w:r>
      <w:r>
        <w:rPr>
          <w:rFonts w:ascii="Times New Roman" w:hAnsi="Times New Roman" w:eastAsia="宋体"/>
          <w:color w:val="404040"/>
          <w:sz w:val="18"/>
        </w:rPr>
        <w:t>### 2. Methodology (Pages 2-2) [Page 2] The comprehensive procedures for the proposed research framework of this study are shown in Fig. 1. Firstly, the functional and topological parameters of the Power-Water Systems (PWS) are modeled, coupled with a regional seismic hazard analysis within the geographic location of the PWS. Subsequently, earthquake-damaged samples for the PWS are generated from seismic fragility models of the components and quasi-Monte Carlo (QMC) simulations. The second part is the functional analysis for the independent WDS and PS based on the power flow model and hydraulic model, and modifying functional parameters of the PWS based on the earthquake-induced damage states and the dependencies of the components. The thir ...</w:t>
      </w:r>
    </w:p>
    <w:p>
      <w:pPr>
        <w:spacing w:before="80" w:after="40"/>
      </w:pPr>
      <w:r>
        <w:rPr>
          <w:rFonts w:ascii="Times New Roman" w:hAnsi="Times New Roman" w:eastAsia="微软雅黑"/>
          <w:b/>
          <w:color w:val="2F5597"/>
          <w:sz w:val="19"/>
        </w:rPr>
        <w:t>【Zone C 切片采样（级联功能损失指标与仿真结果分析章节）】：</w:t>
        <w:br/>
      </w:r>
      <w:r>
        <w:rPr>
          <w:rFonts w:ascii="Times New Roman" w:hAnsi="Times New Roman" w:eastAsia="宋体"/>
          <w:color w:val="404040"/>
          <w:sz w:val="18"/>
        </w:rPr>
        <w:t>### 2.3. Seismic performance analysis of individual system (Pages 4-4)   ### 2.3.1. Seismic performance analysis for the WDS based hydraulic model (Pages 4-4) [Page 4] Earthquake-induced pipeline damages are classified as leakage or breakage [32]. Based on the HAZUS [33], the proportion of these damage types varies significantly between liquefied and non-liquefied regions: non-liquefied areas see 80% of pipeline damage in the form of leakage and 20% as breakage, while the inverse holds for liquefied zones, with breakage accounting for 80% and leakage for 20%. The leakage modes are categorized into five types by Shi and O'Rourke [34], which al ...</w:t>
      </w:r>
    </w:p>
    <w:p>
      <w:pPr>
        <w:spacing w:before="80" w:after="40"/>
      </w:pPr>
      <w:r>
        <w:rPr>
          <w:rFonts w:ascii="Times New Roman" w:hAnsi="Times New Roman" w:eastAsia="微软雅黑"/>
          <w:b/>
          <w:color w:val="2F5597"/>
          <w:sz w:val="19"/>
        </w:rPr>
        <w:t>【Zone D 切片采样（算例描述、讨论与文末局限性展望章节）】：</w:t>
        <w:br/>
      </w:r>
      <w:r>
        <w:rPr>
          <w:rFonts w:ascii="Times New Roman" w:hAnsi="Times New Roman" w:eastAsia="宋体"/>
          <w:color w:val="404040"/>
          <w:sz w:val="18"/>
        </w:rPr>
        <w:t>supply capacity will be a critical focus for future research. (ii) This study conducts a steady-state power flow analysis tailored to city-scale distribution networks in evaluating the seismic performance of the PS. However, expanding the spatial scope to a regional scale to incorporate the seismic vulnerability of transmission networks and adopting a detailed power flow model to capture more failure mechanisms present a significant challenge and a crucial direction for future work. (iii) Regarding the facility damage to the WDS, this study primarily accounts for pipeline damage and the loss of power supply to WTPs. Incorporating the direct structural damage to WTPs into the proposed framework, and evaluating how such physical damage degrades the overall functionality of the broader PWS, will be another key priority in subsequent studies.</w:t>
      </w:r>
    </w:p>
    <w:sectPr w:rsidR="00FC693F" w:rsidRPr="0006063C" w:rsidSect="00034616">
      <w:pgSz w:w="11906" w:h="16838"/>
      <w:pgMar w:top="1304" w:right="1361" w:bottom="130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