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宋体"/>
          <w:b/>
          <w:sz w:val="44"/>
        </w:rPr>
        <w:t>机组故障退出引发级联的母线失效研究</w:t>
      </w:r>
    </w:p>
    <w:p>
      <w:pPr>
        <w:spacing w:after="60"/>
        <w:jc w:val="center"/>
      </w:pPr>
      <w:r>
        <w:rPr>
          <w:rFonts w:ascii="Times New Roman" w:hAnsi="Times New Roman" w:eastAsia="宋体"/>
          <w:color w:val="5C5C5C"/>
          <w:sz w:val="26"/>
        </w:rPr>
        <w:t>方法与本轮结果报告（IEEE 30 算例）</w:t>
      </w:r>
    </w:p>
    <w:p>
      <w:pPr>
        <w:spacing w:after="320"/>
        <w:jc w:val="center"/>
      </w:pPr>
      <w:r>
        <w:rPr>
          <w:rFonts w:ascii="Times New Roman" w:hAnsi="Times New Roman" w:eastAsia="宋体"/>
          <w:color w:val="5C5C5C"/>
          <w:sz w:val="18"/>
        </w:rPr>
        <w:t>2026-10-21 　|　 算例：IEEE 30（6 机组 / 30 母线）　|　 场景：41 场景/运行点 × 5 组参数集 × 2 个运行点 = 410 次级联仿真　|　 复现：</w:t>
      </w:r>
      <w:r>
        <w:rPr>
          <w:rFonts w:ascii="Consolas" w:hAnsi="Consolas" w:eastAsia="等线"/>
          <w:color w:val="5C5C5C"/>
          <w:sz w:val="16"/>
        </w:rPr>
        <w:t>cd bus_failure_study &amp;&amp; ./run.sh all</w:t>
      </w:r>
      <w:r>
        <w:rPr>
          <w:rFonts w:ascii="Times New Roman" w:hAnsi="Times New Roman" w:eastAsia="宋体"/>
          <w:color w:val="5C5C5C"/>
          <w:sz w:val="18"/>
        </w:rPr>
        <w:t>（约 35 s）</w:t>
      </w:r>
    </w:p>
    <w:p>
      <w:pPr>
        <w:keepNext/>
        <w:spacing w:before="280" w:after="100"/>
      </w:pPr>
      <w:r>
        <w:rPr>
          <w:rFonts w:ascii="Times New Roman" w:hAnsi="Times New Roman" w:eastAsia="宋体"/>
          <w:b/>
          <w:color w:val="1A1A1A"/>
          <w:sz w:val="30"/>
        </w:rPr>
        <w:t>摘要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 xml:space="preserve">本报告给出一套可计算、可复现的“机组退出 → 级联传播 → 母线失效”量化方法，并在 IEEE 30 算例上给出完整结果。方法上，把“母线失效”拆成 </w:t>
      </w:r>
      <w:r>
        <w:rPr>
          <w:rFonts w:ascii="Times New Roman" w:hAnsi="Times New Roman" w:eastAsia="宋体"/>
          <w:b/>
          <w:sz w:val="21"/>
        </w:rPr>
        <w:t>F1 电压不合格 / F2 电压崩溃 / F3 失电 / F4 负荷损失</w:t>
      </w:r>
      <w:r>
        <w:rPr>
          <w:rFonts w:ascii="Times New Roman" w:hAnsi="Times New Roman" w:eastAsia="宋体"/>
          <w:sz w:val="21"/>
        </w:rPr>
        <w:t xml:space="preserve"> 四级语义分别计量，用准稳态级联引擎（AC 潮流 + 保护动作 + 单质块系统频率响应）逐阶段推演，以母线级失效指示 </w:t>
      </w:r>
      <w:r>
        <w:rPr>
          <w:rFonts w:ascii="Times New Roman" w:hAnsi="Times New Roman" w:eastAsia="宋体"/>
          <w:i/>
          <w:sz w:val="21"/>
        </w:rPr>
        <w:t>I_b</w:t>
      </w:r>
      <w:r>
        <w:rPr>
          <w:rFonts w:ascii="Times New Roman" w:hAnsi="Times New Roman" w:eastAsia="宋体"/>
          <w:sz w:val="21"/>
        </w:rPr>
        <w:t xml:space="preserve"> 为核心指标，聚合成失效概率 </w:t>
      </w:r>
      <w:r>
        <w:rPr>
          <w:rFonts w:ascii="Times New Roman" w:hAnsi="Times New Roman" w:eastAsia="宋体"/>
          <w:i/>
          <w:sz w:val="21"/>
        </w:rPr>
        <w:t>P_b</w:t>
      </w:r>
      <w:r>
        <w:rPr>
          <w:rFonts w:ascii="Times New Roman" w:hAnsi="Times New Roman" w:eastAsia="宋体"/>
          <w:sz w:val="21"/>
        </w:rPr>
        <w:t xml:space="preserve">、期望风险 </w:t>
      </w:r>
      <w:r>
        <w:rPr>
          <w:rFonts w:ascii="Times New Roman" w:hAnsi="Times New Roman" w:eastAsia="宋体"/>
          <w:i/>
          <w:sz w:val="21"/>
        </w:rPr>
        <w:t>R_b</w:t>
      </w:r>
      <w:r>
        <w:rPr>
          <w:rFonts w:ascii="Times New Roman" w:hAnsi="Times New Roman" w:eastAsia="宋体"/>
          <w:sz w:val="21"/>
        </w:rPr>
        <w:t xml:space="preserve">、首次失效阶段 </w:t>
      </w:r>
      <w:r>
        <w:rPr>
          <w:rFonts w:ascii="Times New Roman" w:hAnsi="Times New Roman" w:eastAsia="宋体"/>
          <w:i/>
          <w:sz w:val="21"/>
        </w:rPr>
        <w:t>τ_b</w:t>
      </w:r>
      <w:r>
        <w:rPr>
          <w:rFonts w:ascii="Times New Roman" w:hAnsi="Times New Roman" w:eastAsia="宋体"/>
          <w:sz w:val="21"/>
        </w:rPr>
        <w:t xml:space="preserve"> 与系统级母线失效指数 BFI。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风险放大律</w:t>
      </w:r>
      <w:r>
        <w:rPr>
          <w:rFonts w:ascii="Times New Roman" w:hAnsi="Times New Roman" w:eastAsia="宋体"/>
          <w:sz w:val="21"/>
        </w:rPr>
        <w:t xml:space="preserve">：BFI 随同时退出机组数 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 xml:space="preserve"> 非线性跃变——</w:t>
      </w:r>
      <w:r>
        <w:rPr>
          <w:rFonts w:ascii="Times New Roman" w:hAnsi="Times New Roman" w:eastAsia="宋体"/>
          <w:i/>
          <w:sz w:val="21"/>
        </w:rPr>
        <w:t>λ=1.00</w:t>
      </w:r>
      <w:r>
        <w:rPr>
          <w:rFonts w:ascii="Times New Roman" w:hAnsi="Times New Roman" w:eastAsia="宋体"/>
          <w:sz w:val="21"/>
        </w:rPr>
        <w:t xml:space="preserve"> 时 0.0778 → 0.4467 → 0.7967（</w:t>
      </w:r>
      <w:r>
        <w:rPr>
          <w:rFonts w:ascii="Times New Roman" w:hAnsi="Times New Roman" w:eastAsia="宋体"/>
          <w:i/>
          <w:sz w:val="21"/>
        </w:rPr>
        <w:t>k=1/2/3</w:t>
      </w:r>
      <w:r>
        <w:rPr>
          <w:rFonts w:ascii="Times New Roman" w:hAnsi="Times New Roman" w:eastAsia="宋体"/>
          <w:sz w:val="21"/>
        </w:rPr>
        <w:t xml:space="preserve">，跃变比 </w:t>
      </w:r>
      <w:r>
        <w:rPr>
          <w:rFonts w:ascii="Times New Roman" w:hAnsi="Times New Roman" w:eastAsia="宋体"/>
          <w:b/>
          <w:sz w:val="21"/>
        </w:rPr>
        <w:t>5.74×</w:t>
      </w:r>
      <w:r>
        <w:rPr>
          <w:rFonts w:ascii="Times New Roman" w:hAnsi="Times New Roman" w:eastAsia="宋体"/>
          <w:sz w:val="21"/>
        </w:rPr>
        <w:t>）；</w:t>
      </w:r>
      <w:r>
        <w:rPr>
          <w:rFonts w:ascii="Times New Roman" w:hAnsi="Times New Roman" w:eastAsia="宋体"/>
          <w:i/>
          <w:sz w:val="21"/>
        </w:rPr>
        <w:t>λ=1.40</w:t>
      </w:r>
      <w:r>
        <w:rPr>
          <w:rFonts w:ascii="Times New Roman" w:hAnsi="Times New Roman" w:eastAsia="宋体"/>
          <w:sz w:val="21"/>
        </w:rPr>
        <w:t xml:space="preserve"> 时 0.2167 → 0.5511 → 0.8100（</w:t>
      </w:r>
      <w:r>
        <w:rPr>
          <w:rFonts w:ascii="Times New Roman" w:hAnsi="Times New Roman" w:eastAsia="宋体"/>
          <w:b/>
          <w:sz w:val="21"/>
        </w:rPr>
        <w:t>2.54×</w:t>
      </w:r>
      <w:r>
        <w:rPr>
          <w:rFonts w:ascii="Times New Roman" w:hAnsi="Times New Roman" w:eastAsia="宋体"/>
          <w:sz w:val="21"/>
        </w:rPr>
        <w:t>）。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排序不稳定</w:t>
      </w:r>
      <w:r>
        <w:rPr>
          <w:rFonts w:ascii="Times New Roman" w:hAnsi="Times New Roman" w:eastAsia="宋体"/>
          <w:sz w:val="21"/>
        </w:rPr>
        <w:t xml:space="preserve">：两个运行点上 </w:t>
      </w:r>
      <w:r>
        <w:rPr>
          <w:rFonts w:ascii="Times New Roman" w:hAnsi="Times New Roman" w:eastAsia="宋体"/>
          <w:i/>
          <w:sz w:val="21"/>
        </w:rPr>
        <w:t>k=1</w:t>
      </w:r>
      <w:r>
        <w:rPr>
          <w:rFonts w:ascii="Times New Roman" w:hAnsi="Times New Roman" w:eastAsia="宋体"/>
          <w:sz w:val="21"/>
        </w:rPr>
        <w:t xml:space="preserve"> 与 </w:t>
      </w:r>
      <w:r>
        <w:rPr>
          <w:rFonts w:ascii="Times New Roman" w:hAnsi="Times New Roman" w:eastAsia="宋体"/>
          <w:i/>
          <w:sz w:val="21"/>
        </w:rPr>
        <w:t>k=2</w:t>
      </w:r>
      <w:r>
        <w:rPr>
          <w:rFonts w:ascii="Times New Roman" w:hAnsi="Times New Roman" w:eastAsia="宋体"/>
          <w:sz w:val="21"/>
        </w:rPr>
        <w:t xml:space="preserve"> 的关键母线排序 Spearman 仅 </w:t>
      </w:r>
      <w:r>
        <w:rPr>
          <w:rFonts w:ascii="Times New Roman" w:hAnsi="Times New Roman" w:eastAsia="宋体"/>
          <w:b/>
          <w:sz w:val="21"/>
        </w:rPr>
        <w:t>0.768 / 0.813</w:t>
      </w:r>
      <w:r>
        <w:rPr>
          <w:rFonts w:ascii="Times New Roman" w:hAnsi="Times New Roman" w:eastAsia="宋体"/>
          <w:sz w:val="21"/>
        </w:rPr>
        <w:t>，top-5 均只重合 3/5，说明 N-1 筛查不能替代 N-2。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机组危害与容量无关</w:t>
      </w:r>
      <w:r>
        <w:rPr>
          <w:rFonts w:ascii="Times New Roman" w:hAnsi="Times New Roman" w:eastAsia="宋体"/>
          <w:sz w:val="21"/>
        </w:rPr>
        <w:t xml:space="preserve">：有功出力最小的 G@22（21.6 MW）单机退出致 </w:t>
      </w:r>
      <w:r>
        <w:rPr>
          <w:rFonts w:ascii="Times New Roman" w:hAnsi="Times New Roman" w:eastAsia="宋体"/>
          <w:b/>
          <w:sz w:val="21"/>
        </w:rPr>
        <w:t>10 / 14</w:t>
      </w:r>
      <w:r>
        <w:rPr>
          <w:rFonts w:ascii="Times New Roman" w:hAnsi="Times New Roman" w:eastAsia="宋体"/>
          <w:sz w:val="21"/>
        </w:rPr>
        <w:t xml:space="preserve"> 条母线失效（</w:t>
      </w:r>
      <w:r>
        <w:rPr>
          <w:rFonts w:ascii="Times New Roman" w:hAnsi="Times New Roman" w:eastAsia="宋体"/>
          <w:i/>
          <w:sz w:val="21"/>
        </w:rPr>
        <w:t>λ=1.00/1.40</w:t>
      </w:r>
      <w:r>
        <w:rPr>
          <w:rFonts w:ascii="Times New Roman" w:hAnsi="Times New Roman" w:eastAsia="宋体"/>
          <w:sz w:val="21"/>
        </w:rPr>
        <w:t>）；出力最大的 G@2（61.0 MW）仅致 0 / 5 条；</w:t>
      </w:r>
      <w:r>
        <w:rPr>
          <w:rFonts w:ascii="Times New Roman" w:hAnsi="Times New Roman" w:eastAsia="宋体"/>
          <w:i/>
          <w:sz w:val="21"/>
        </w:rPr>
        <w:t>P_max</w:t>
      </w:r>
      <w:r>
        <w:rPr>
          <w:rFonts w:ascii="Times New Roman" w:hAnsi="Times New Roman" w:eastAsia="宋体"/>
          <w:sz w:val="21"/>
        </w:rPr>
        <w:t xml:space="preserve"> 同为 80 MW 的 G@1 恒为 0 条。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机理以电压型为主</w:t>
      </w:r>
      <w:r>
        <w:rPr>
          <w:rFonts w:ascii="Times New Roman" w:hAnsi="Times New Roman" w:eastAsia="宋体"/>
          <w:sz w:val="21"/>
        </w:rPr>
        <w:t xml:space="preserve">：母线失效记录中 F1 参与率 </w:t>
      </w:r>
      <w:r>
        <w:rPr>
          <w:rFonts w:ascii="Times New Roman" w:hAnsi="Times New Roman" w:eastAsia="宋体"/>
          <w:b/>
          <w:sz w:val="21"/>
        </w:rPr>
        <w:t>97% / 96%</w:t>
      </w:r>
      <w:r>
        <w:rPr>
          <w:rFonts w:ascii="Times New Roman" w:hAnsi="Times New Roman" w:eastAsia="宋体"/>
          <w:sz w:val="21"/>
        </w:rPr>
        <w:t>，F3（失电）</w:t>
      </w:r>
      <w:r>
        <w:rPr>
          <w:rFonts w:ascii="Times New Roman" w:hAnsi="Times New Roman" w:eastAsia="宋体"/>
          <w:b/>
          <w:sz w:val="21"/>
        </w:rPr>
        <w:t>37% / 29%</w:t>
      </w:r>
      <w:r>
        <w:rPr>
          <w:rFonts w:ascii="Times New Roman" w:hAnsi="Times New Roman" w:eastAsia="宋体"/>
          <w:sz w:val="21"/>
        </w:rPr>
        <w:t xml:space="preserve">，F2b（潮流无可行点）在两个运行点均为 </w:t>
      </w:r>
      <w:r>
        <w:rPr>
          <w:rFonts w:ascii="Times New Roman" w:hAnsi="Times New Roman" w:eastAsia="宋体"/>
          <w:b/>
          <w:sz w:val="21"/>
        </w:rPr>
        <w:t>0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端到端闭环</w:t>
      </w:r>
      <w:r>
        <w:rPr>
          <w:rFonts w:ascii="Times New Roman" w:hAnsi="Times New Roman" w:eastAsia="宋体"/>
          <w:sz w:val="21"/>
        </w:rPr>
        <w:t>：G@2+G@13 两台机组退出，经“过载跳线 → 低频切机 → UVLS 减载 → 解列失电”</w:t>
      </w:r>
      <w:r>
        <w:rPr>
          <w:rFonts w:ascii="Times New Roman" w:hAnsi="Times New Roman" w:eastAsia="宋体"/>
          <w:b/>
          <w:sz w:val="21"/>
        </w:rPr>
        <w:t>5 个阶段</w:t>
      </w:r>
      <w:r>
        <w:rPr>
          <w:rFonts w:ascii="Times New Roman" w:hAnsi="Times New Roman" w:eastAsia="宋体"/>
          <w:sz w:val="21"/>
        </w:rPr>
        <w:t xml:space="preserve">把 30/30 条母线全部推向失效，减载 </w:t>
      </w:r>
      <w:r>
        <w:rPr>
          <w:rFonts w:ascii="Times New Roman" w:hAnsi="Times New Roman" w:eastAsia="宋体"/>
          <w:b/>
          <w:sz w:val="21"/>
        </w:rPr>
        <w:t>189 MW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参数敏感性</w:t>
      </w:r>
      <w:r>
        <w:rPr>
          <w:rFonts w:ascii="Times New Roman" w:hAnsi="Times New Roman" w:eastAsia="宋体"/>
          <w:sz w:val="21"/>
        </w:rPr>
        <w:t>：低惯量（</w:t>
      </w:r>
      <w:r>
        <w:rPr>
          <w:rFonts w:ascii="Times New Roman" w:hAnsi="Times New Roman" w:eastAsia="宋体"/>
          <w:i/>
          <w:sz w:val="21"/>
        </w:rPr>
        <w:t>H=3.0</w:t>
      </w:r>
      <w:r>
        <w:rPr>
          <w:rFonts w:ascii="Times New Roman" w:hAnsi="Times New Roman" w:eastAsia="宋体"/>
          <w:sz w:val="21"/>
        </w:rPr>
        <w:t xml:space="preserve"> s）把 </w:t>
      </w:r>
      <w:r>
        <w:rPr>
          <w:rFonts w:ascii="Times New Roman" w:hAnsi="Times New Roman" w:eastAsia="宋体"/>
          <w:i/>
          <w:sz w:val="21"/>
        </w:rPr>
        <w:t>λ=1.00</w:t>
      </w:r>
      <w:r>
        <w:rPr>
          <w:rFonts w:ascii="Times New Roman" w:hAnsi="Times New Roman" w:eastAsia="宋体"/>
          <w:sz w:val="21"/>
        </w:rPr>
        <w:t xml:space="preserve"> 的 BFI(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>=2) 从 0.447 抬到 0.551（+23%）；其余 4 组参数对 BFI(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>=1) 无影响。</w:t>
      </w:r>
    </w:p>
    <w:p>
      <w:pPr>
        <w:keepNext/>
        <w:spacing w:before="280" w:after="100"/>
      </w:pPr>
      <w:r>
        <w:rPr>
          <w:rFonts w:ascii="Times New Roman" w:hAnsi="Times New Roman" w:eastAsia="宋体"/>
          <w:b/>
          <w:color w:val="1A1A1A"/>
          <w:sz w:val="30"/>
        </w:rPr>
        <w:t>1　研究问题与范围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1.1　两个待答问题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机理问题 $Q_1$</w:t>
      </w:r>
      <w:r>
        <w:rPr>
          <w:rFonts w:ascii="Times New Roman" w:hAnsi="Times New Roman" w:eastAsia="宋体"/>
          <w:sz w:val="21"/>
        </w:rPr>
        <w:t>：机组发生故障退出后，级联影响如何产生与传播——哪些元件动作、按什么顺序、在哪条母线终结？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量化问题 $Q_2$</w:t>
      </w:r>
      <w:r>
        <w:rPr>
          <w:rFonts w:ascii="Times New Roman" w:hAnsi="Times New Roman" w:eastAsia="宋体"/>
          <w:sz w:val="21"/>
        </w:rPr>
        <w:t>：母线的失效情况如何度量——哪些母线失效、失效多严重、在不同场景集与负荷水平下频率多大？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1.2　“母线失效”的分级判据（本方法的核心定义）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文献中“母线失效”至少混用四种含义，混在一起会让指标失去物理意义。本方法把它们</w:t>
      </w:r>
      <w:r>
        <w:rPr>
          <w:rFonts w:ascii="Times New Roman" w:hAnsi="Times New Roman" w:eastAsia="宋体"/>
          <w:b/>
          <w:sz w:val="21"/>
        </w:rPr>
        <w:t>分开计量</w:t>
      </w:r>
      <w:r>
        <w:rPr>
          <w:rFonts w:ascii="Times New Roman" w:hAnsi="Times New Roman" w:eastAsia="宋体"/>
          <w:sz w:val="21"/>
        </w:rPr>
        <w:t xml:space="preserve">，只在 </w:t>
      </w:r>
      <w:r>
        <w:rPr>
          <w:rFonts w:ascii="Times New Roman" w:hAnsi="Times New Roman" w:eastAsia="宋体"/>
          <w:i/>
          <w:sz w:val="21"/>
        </w:rPr>
        <w:t>I_b</w:t>
      </w:r>
      <w:r>
        <w:rPr>
          <w:rFonts w:ascii="Times New Roman" w:hAnsi="Times New Roman" w:eastAsia="宋体"/>
          <w:sz w:val="21"/>
        </w:rPr>
        <w:t xml:space="preserve"> 中计入状态型失效，负荷损失单独作为后果量：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1　母线失效的分级判据与是否计入失效指示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323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代号</w:t>
            </w:r>
          </w:p>
        </w:tc>
        <w:tc>
          <w:tcPr>
            <w:tcW w:type="dxa" w:w="1323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3529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判据（实现）</w:t>
            </w:r>
          </w:p>
        </w:tc>
        <w:tc>
          <w:tcPr>
            <w:tcW w:type="dxa" w:w="1029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 xml:space="preserve">计入 </w:t>
            </w:r>
            <w:r>
              <w:rPr>
                <w:rFonts w:ascii="Times New Roman" w:hAnsi="Times New Roman" w:eastAsia="宋体"/>
                <w:b/>
                <w:i/>
                <w:sz w:val="18"/>
              </w:rPr>
              <w:t>I_b</w:t>
            </w:r>
          </w:p>
        </w:tc>
        <w:tc>
          <w:tcPr>
            <w:tcW w:type="dxa" w:w="2206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物理含义</w:t>
            </w:r>
          </w:p>
        </w:tc>
      </w:tr>
      <w:tr>
        <w:tc>
          <w:tcPr>
            <w:tcW w:type="dxa" w:w="13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F1 / F1_new</w:t>
            </w:r>
          </w:p>
        </w:tc>
        <w:tc>
          <w:tcPr>
            <w:tcW w:type="dxa" w:w="13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电压不合格</w:t>
            </w:r>
          </w:p>
        </w:tc>
        <w:tc>
          <w:tcPr>
            <w:tcW w:type="dxa" w:w="352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母线电压越出 [0.95, 1.05] pu；</w:t>
            </w:r>
            <w:r>
              <w:rPr>
                <w:rFonts w:ascii="Consolas" w:hAnsi="Consolas" w:eastAsia="等线"/>
                <w:sz w:val="16"/>
              </w:rPr>
              <w:t>F1_new</w:t>
            </w:r>
            <w:r>
              <w:rPr>
                <w:rFonts w:ascii="Times New Roman" w:hAnsi="Times New Roman" w:eastAsia="宋体"/>
                <w:sz w:val="18"/>
              </w:rPr>
              <w:t xml:space="preserve"> 只记</w:t>
            </w:r>
            <w:r>
              <w:rPr>
                <w:rFonts w:ascii="Times New Roman" w:hAnsi="Times New Roman" w:eastAsia="宋体"/>
                <w:b/>
                <w:sz w:val="18"/>
              </w:rPr>
              <w:t>级联中新增</w:t>
            </w:r>
            <w:r>
              <w:rPr>
                <w:rFonts w:ascii="Times New Roman" w:hAnsi="Times New Roman" w:eastAsia="宋体"/>
                <w:sz w:val="18"/>
              </w:rPr>
              <w:t>的越限（基线已越限的不重复计）</w:t>
            </w:r>
          </w:p>
        </w:tc>
        <w:tc>
          <w:tcPr>
            <w:tcW w:type="dxa" w:w="102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22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母线仍在运行，但静态安全/电能质量失效</w:t>
            </w:r>
          </w:p>
        </w:tc>
      </w:tr>
      <w:tr>
        <w:tc>
          <w:tcPr>
            <w:tcW w:type="dxa" w:w="13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F2a</w:t>
            </w:r>
          </w:p>
        </w:tc>
        <w:tc>
          <w:tcPr>
            <w:tcW w:type="dxa" w:w="13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电压崩溃</w:t>
            </w:r>
          </w:p>
        </w:tc>
        <w:tc>
          <w:tcPr>
            <w:tcW w:type="dxa" w:w="352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母线电压 &lt; 0.80 pu</w:t>
            </w:r>
          </w:p>
        </w:tc>
        <w:tc>
          <w:tcPr>
            <w:tcW w:type="dxa" w:w="102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22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电压不可维持，受端失稳</w:t>
            </w:r>
          </w:p>
        </w:tc>
      </w:tr>
      <w:tr>
        <w:tc>
          <w:tcPr>
            <w:tcW w:type="dxa" w:w="13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F2b</w:t>
            </w:r>
          </w:p>
        </w:tc>
        <w:tc>
          <w:tcPr>
            <w:tcW w:type="dxa" w:w="13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潮流无可行点</w:t>
            </w:r>
          </w:p>
        </w:tc>
        <w:tc>
          <w:tcPr>
            <w:tcW w:type="dxa" w:w="352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孤岛 AC 潮流不收敛</w:t>
            </w:r>
          </w:p>
        </w:tc>
        <w:tc>
          <w:tcPr>
            <w:tcW w:type="dxa" w:w="102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22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网架结构失去可行运行点</w:t>
            </w:r>
          </w:p>
        </w:tc>
      </w:tr>
      <w:tr>
        <w:tc>
          <w:tcPr>
            <w:tcW w:type="dxa" w:w="13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F2c</w:t>
            </w:r>
          </w:p>
        </w:tc>
        <w:tc>
          <w:tcPr>
            <w:tcW w:type="dxa" w:w="13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机端电压跳机</w:t>
            </w:r>
          </w:p>
        </w:tc>
        <w:tc>
          <w:tcPr>
            <w:tcW w:type="dxa" w:w="352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机组母线电压越出 [0.90, 1.10] pu 触发跳机（动作标签，非母线失效）</w:t>
            </w:r>
          </w:p>
        </w:tc>
        <w:tc>
          <w:tcPr>
            <w:tcW w:type="dxa" w:w="102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  <w:tc>
          <w:tcPr>
            <w:tcW w:type="dxa" w:w="22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级联中的“次生退出”，用于追踪传播</w:t>
            </w:r>
          </w:p>
        </w:tc>
      </w:tr>
      <w:tr>
        <w:tc>
          <w:tcPr>
            <w:tcW w:type="dxa" w:w="13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F3</w:t>
            </w:r>
          </w:p>
        </w:tc>
        <w:tc>
          <w:tcPr>
            <w:tcW w:type="dxa" w:w="13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母线失电</w:t>
            </w:r>
          </w:p>
        </w:tc>
        <w:tc>
          <w:tcPr>
            <w:tcW w:type="dxa" w:w="352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所在孤岛无在运电源 / 解列失电</w:t>
            </w:r>
          </w:p>
        </w:tc>
        <w:tc>
          <w:tcPr>
            <w:tcW w:type="dxa" w:w="102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22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拓扑意义上的失效，最严重</w:t>
            </w:r>
          </w:p>
        </w:tc>
      </w:tr>
      <w:tr>
        <w:tc>
          <w:tcPr>
            <w:tcW w:type="dxa" w:w="13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F4</w:t>
            </w:r>
          </w:p>
        </w:tc>
        <w:tc>
          <w:tcPr>
            <w:tcW w:type="dxa" w:w="13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负荷损失</w:t>
            </w:r>
          </w:p>
        </w:tc>
        <w:tc>
          <w:tcPr>
            <w:tcW w:type="dxa" w:w="352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该母线被 UVLS/UFLS/紧急调度切除的负荷量 </w:t>
            </w:r>
            <w:r>
              <w:rPr>
                <w:rFonts w:ascii="Times New Roman" w:hAnsi="Times New Roman" w:eastAsia="宋体"/>
                <w:i/>
                <w:sz w:val="18"/>
              </w:rPr>
              <w:t>ℓ_b</w:t>
            </w:r>
          </w:p>
        </w:tc>
        <w:tc>
          <w:tcPr>
            <w:tcW w:type="dxa" w:w="102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否（单列为后果）</w:t>
            </w:r>
          </w:p>
        </w:tc>
        <w:tc>
          <w:tcPr>
            <w:tcW w:type="dxa" w:w="22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后果维度，不是状态</w:t>
            </w:r>
          </w:p>
        </w:tc>
      </w:tr>
    </w:tbl>
    <w:p>
      <w:pPr>
        <w:spacing w:after="40"/>
      </w:pP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由此得到两个互不污染的指标：</w:t>
      </w:r>
    </w:p>
    <w:p>
      <w:pPr>
        <w:spacing w:before="120" w:after="200" w:line="276" w:lineRule="auto"/>
        <w:ind w:left="113"/>
        <w:shd w:val="clear" w:color="auto" w:fill="F4F5F7"/>
      </w:pPr>
      <w:r>
        <w:rPr>
          <w:rFonts w:ascii="Consolas" w:hAnsi="Consolas" w:eastAsia="等线"/>
          <w:sz w:val="17"/>
        </w:rPr>
        <w:t>I_b(s) = 1[ F1_new ∨ F2a ∨ F2b ∨ F3 ]        （母线失效指示，0/1）</w:t>
        <w:br/>
      </w:r>
      <w:r>
        <w:rPr>
          <w:rFonts w:ascii="Consolas" w:hAnsi="Consolas" w:eastAsia="等线"/>
          <w:sz w:val="17"/>
        </w:rPr>
        <w:t>ℓ_b(s) = 母线 b 被切负荷 / 母线 b 初始负荷    （母线负荷损失率，0~1）</w:t>
      </w:r>
    </w:p>
    <w:p>
      <w:pPr>
        <w:spacing w:before="120" w:after="160"/>
        <w:ind w:left="113"/>
        <w:shd w:val="clear" w:color="auto" w:fill="FDF6F4"/>
        <w:pBdr>
          <w:left w:val="single" w:sz="18" w:space="8" w:color="8C2F22"/>
        </w:pBdr>
      </w:pPr>
      <w:r>
        <w:rPr>
          <w:rFonts w:ascii="Times New Roman" w:hAnsi="Times New Roman" w:eastAsia="宋体"/>
          <w:color w:val="4A2A24"/>
          <w:sz w:val="19"/>
        </w:rPr>
        <w:t>若把 F4 混入失效判据，一次不限轮次的 UVLS 就会让全网母线在每个阶段都“失效”，指标立刻饱和——这是原型阶段踩到的第一个坑（见 §2.3）。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1.3　范围边界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2　本轮做什么 / 不做什么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在本轮范围内（已完成）</w:t>
            </w:r>
          </w:p>
        </w:tc>
        <w:tc>
          <w:tcPr>
            <w:tcW w:type="dxa" w:w="4706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不在本轮范围内（明确不做）</w:t>
            </w:r>
          </w:p>
        </w:tc>
      </w:tr>
      <w:tr>
        <w:tc>
          <w:tcPr>
            <w:tcW w:type="dxa" w:w="47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级联引擎 + 母线失效四级判据 + 指标聚合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跨算例对比（IEEE 14 / 57 / 118）</w:t>
            </w:r>
          </w:p>
        </w:tc>
      </w:tr>
      <w:tr>
        <w:tc>
          <w:tcPr>
            <w:tcW w:type="dxa" w:w="47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41 场景 × 5 参数集 × 2 运行点的批量扫描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概率化保护（隐藏故障、误动率）</w:t>
            </w:r>
          </w:p>
        </w:tc>
      </w:tr>
      <w:tr>
        <w:tc>
          <w:tcPr>
            <w:tcW w:type="dxa" w:w="47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母线级概率与风险指标、两区制判定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全时域（ANDES/PSS/E）动态校验</w:t>
            </w:r>
          </w:p>
        </w:tc>
      </w:tr>
      <w:tr>
        <w:tc>
          <w:tcPr>
            <w:tcW w:type="dxa" w:w="47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因果链归因（F1/F2a/F2b/F3 参与率、</w:t>
            </w:r>
            <w:r>
              <w:rPr>
                <w:rFonts w:ascii="Times New Roman" w:hAnsi="Times New Roman" w:eastAsia="宋体"/>
                <w:i/>
                <w:sz w:val="18"/>
              </w:rPr>
              <w:t>τ_b</w:t>
            </w:r>
            <w:r>
              <w:rPr>
                <w:rFonts w:ascii="Times New Roman" w:hAnsi="Times New Roman" w:eastAsia="宋体"/>
                <w:sz w:val="18"/>
              </w:rPr>
              <w:t>、泳道图）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真实历史事故复现</w:t>
            </w:r>
          </w:p>
        </w:tc>
      </w:tr>
      <w:tr>
        <w:tc>
          <w:tcPr>
            <w:tcW w:type="dxa" w:w="47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单机与双机退出的端到端闭环验证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小样本 bootstrap 置信区间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rFonts w:ascii="Times New Roman" w:hAnsi="Times New Roman" w:eastAsia="宋体"/>
          <w:b/>
          <w:color w:val="1A1A1A"/>
          <w:sz w:val="30"/>
        </w:rPr>
        <w:t>2　方法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2.1　总体框架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方法分为四层，逐层把“输入的机组退出事件”翻译成“母线级的失效概率与风险”：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3　四层框架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13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层</w:t>
            </w:r>
          </w:p>
        </w:tc>
        <w:tc>
          <w:tcPr>
            <w:tcW w:type="dxa" w:w="1569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4848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输入 → 输出</w:t>
            </w:r>
          </w:p>
        </w:tc>
        <w:tc>
          <w:tcPr>
            <w:tcW w:type="dxa" w:w="2281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实现</w:t>
            </w:r>
          </w:p>
        </w:tc>
      </w:tr>
      <w:tr>
        <w:tc>
          <w:tcPr>
            <w:tcW w:type="dxa" w:w="71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S0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场景生成</w:t>
            </w:r>
          </w:p>
        </w:tc>
        <w:tc>
          <w:tcPr>
            <w:tcW w:type="dxa" w:w="484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机组退出集合 × 负荷水平 × 初始断面 → 场景集 </w:t>
            </w:r>
            <w:r>
              <w:rPr>
                <w:rFonts w:ascii="Times New Roman" w:hAnsi="Times New Roman" w:eastAsia="宋体"/>
                <w:i/>
                <w:sz w:val="18"/>
              </w:rPr>
              <w:t>S</w:t>
            </w:r>
          </w:p>
        </w:tc>
        <w:tc>
          <w:tcPr>
            <w:tcW w:type="dxa" w:w="2281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cases.py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Consolas" w:hAnsi="Consolas" w:eastAsia="等线"/>
                <w:sz w:val="16"/>
              </w:rPr>
              <w:t>mc_v2.py</w:t>
            </w:r>
          </w:p>
        </w:tc>
      </w:tr>
      <w:tr>
        <w:tc>
          <w:tcPr>
            <w:tcW w:type="dxa" w:w="71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S1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初始响应</w:t>
            </w:r>
          </w:p>
        </w:tc>
        <w:tc>
          <w:tcPr>
            <w:tcW w:type="dxa" w:w="484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功率缺额 → 再调度 → 残余缺额 </w:t>
            </w:r>
            <w:r>
              <w:rPr>
                <w:rFonts w:ascii="Times New Roman" w:hAnsi="Times New Roman" w:eastAsia="宋体"/>
                <w:i/>
                <w:sz w:val="18"/>
              </w:rPr>
              <w:t>Δ P_short</w:t>
            </w:r>
            <w:r>
              <w:rPr>
                <w:rFonts w:ascii="Times New Roman" w:hAnsi="Times New Roman" w:eastAsia="宋体"/>
                <w:sz w:val="18"/>
              </w:rPr>
              <w:t xml:space="preserve">；无功缺额 </w:t>
            </w:r>
            <w:r>
              <w:rPr>
                <w:rFonts w:ascii="Times New Roman" w:hAnsi="Times New Roman" w:eastAsia="宋体"/>
                <w:i/>
                <w:sz w:val="18"/>
              </w:rPr>
              <w:t>Δ Q</w:t>
            </w:r>
          </w:p>
        </w:tc>
        <w:tc>
          <w:tcPr>
            <w:tcW w:type="dxa" w:w="2281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cascade.py</w:t>
            </w:r>
          </w:p>
        </w:tc>
      </w:tr>
      <w:tr>
        <w:tc>
          <w:tcPr>
            <w:tcW w:type="dxa" w:w="71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S2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级联迭代</w:t>
            </w:r>
          </w:p>
        </w:tc>
        <w:tc>
          <w:tcPr>
            <w:tcW w:type="dxa" w:w="484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逐阶段：潮流 → 电压越限/崩溃判定 → 保护动作 → 安控动作 → 频率动态</w:t>
            </w:r>
          </w:p>
        </w:tc>
        <w:tc>
          <w:tcPr>
            <w:tcW w:type="dxa" w:w="2281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cascade.py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Consolas" w:hAnsi="Consolas" w:eastAsia="等线"/>
                <w:sz w:val="16"/>
              </w:rPr>
              <w:t>vcls.py</w:t>
            </w:r>
          </w:p>
        </w:tc>
      </w:tr>
      <w:tr>
        <w:tc>
          <w:tcPr>
            <w:tcW w:type="dxa" w:w="71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S3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指标聚合</w:t>
            </w:r>
          </w:p>
        </w:tc>
        <w:tc>
          <w:tcPr>
            <w:tcW w:type="dxa" w:w="484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逐母线 </w:t>
            </w:r>
            <w:r>
              <w:rPr>
                <w:rFonts w:ascii="Times New Roman" w:hAnsi="Times New Roman" w:eastAsia="宋体"/>
                <w:i/>
                <w:sz w:val="18"/>
              </w:rPr>
              <w:t>I_b, ℓ_b, S_b, τ_b</w:t>
            </w:r>
            <w:r>
              <w:rPr>
                <w:rFonts w:ascii="Times New Roman" w:hAnsi="Times New Roman" w:eastAsia="宋体"/>
                <w:sz w:val="18"/>
              </w:rPr>
              <w:t xml:space="preserve"> → </w:t>
            </w:r>
            <w:r>
              <w:rPr>
                <w:rFonts w:ascii="Times New Roman" w:hAnsi="Times New Roman" w:eastAsia="宋体"/>
                <w:i/>
                <w:sz w:val="18"/>
              </w:rPr>
              <w:t>P_b, R_b</w:t>
            </w:r>
            <w:r>
              <w:rPr>
                <w:rFonts w:ascii="Times New Roman" w:hAnsi="Times New Roman" w:eastAsia="宋体"/>
                <w:sz w:val="18"/>
              </w:rPr>
              <w:t>、BFI、排序一致性</w:t>
            </w:r>
          </w:p>
        </w:tc>
        <w:tc>
          <w:tcPr>
            <w:tcW w:type="dxa" w:w="2281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mc_v2.py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Consolas" w:hAnsi="Consolas" w:eastAsia="等线"/>
                <w:sz w:val="16"/>
              </w:rPr>
              <w:t>causal.py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2.2　初始事件建模：T1 / T2 / T3 三种“机组退出”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4　机组退出事件的三种类型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26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3422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物理过程</w:t>
            </w:r>
          </w:p>
        </w:tc>
        <w:tc>
          <w:tcPr>
            <w:tcW w:type="dxa" w:w="1569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时间尺度</w:t>
            </w:r>
          </w:p>
        </w:tc>
        <w:tc>
          <w:tcPr>
            <w:tcW w:type="dxa" w:w="299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建模方式</w:t>
            </w:r>
          </w:p>
        </w:tc>
      </w:tr>
      <w:tr>
        <w:tc>
          <w:tcPr>
            <w:tcW w:type="dxa" w:w="142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T1 故障跳闸</w:t>
            </w:r>
          </w:p>
        </w:tc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保护动作（差动/距离/失步/低频/过励磁）切除机组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数十 ms ~ 数 s</w:t>
            </w:r>
          </w:p>
        </w:tc>
        <w:tc>
          <w:tcPr>
            <w:tcW w:type="dxa" w:w="299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输入</w:t>
            </w:r>
            <w:r>
              <w:rPr>
                <w:rFonts w:ascii="Times New Roman" w:hAnsi="Times New Roman" w:eastAsia="宋体"/>
                <w:sz w:val="18"/>
              </w:rPr>
              <w:t>：直接置机组离线 + 功率缺额</w:t>
            </w:r>
          </w:p>
        </w:tc>
      </w:tr>
      <w:tr>
        <w:tc>
          <w:tcPr>
            <w:tcW w:type="dxa" w:w="142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T2 连锁跳机</w:t>
            </w:r>
          </w:p>
        </w:tc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电压/频率异常诱发其它机组保护动作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数 s ~ 数 min</w:t>
            </w:r>
          </w:p>
        </w:tc>
        <w:tc>
          <w:tcPr>
            <w:tcW w:type="dxa" w:w="299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输出</w:t>
            </w:r>
            <w:r>
              <w:rPr>
                <w:rFonts w:ascii="Times New Roman" w:hAnsi="Times New Roman" w:eastAsia="宋体"/>
                <w:sz w:val="18"/>
              </w:rPr>
              <w:t>：由级联过程中的保护规则自动触发</w:t>
            </w:r>
          </w:p>
        </w:tc>
      </w:tr>
      <w:tr>
        <w:tc>
          <w:tcPr>
            <w:tcW w:type="dxa" w:w="142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T3 计划退出</w:t>
            </w:r>
          </w:p>
        </w:tc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长期停运，无功与惯量支撑永久丧失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月 ~ 年</w:t>
            </w:r>
          </w:p>
        </w:tc>
        <w:tc>
          <w:tcPr>
            <w:tcW w:type="dxa" w:w="299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基线修改</w:t>
            </w:r>
            <w:r>
              <w:rPr>
                <w:rFonts w:ascii="Times New Roman" w:hAnsi="Times New Roman" w:eastAsia="宋体"/>
                <w:sz w:val="18"/>
              </w:rPr>
              <w:t>：改拓扑/出力/无功能力后叠加 T1、T2</w:t>
            </w:r>
          </w:p>
        </w:tc>
      </w:tr>
    </w:tbl>
    <w:p>
      <w:pPr>
        <w:spacing w:after="40"/>
      </w:pP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关键区别：T1 是输入、T2 是输出、T3 是基线修改。若把 T3 当输入直接做 N-1 潮流，只能得到静态结论；要研究级联，必须让 T2 从模型里</w:t>
      </w:r>
      <w:r>
        <w:rPr>
          <w:rFonts w:ascii="Times New Roman" w:hAnsi="Times New Roman" w:eastAsia="宋体"/>
          <w:b/>
          <w:sz w:val="21"/>
        </w:rPr>
        <w:t>自己长出来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 xml:space="preserve">有功侧：机组退出带走 </w:t>
      </w:r>
      <w:r>
        <w:rPr>
          <w:rFonts w:ascii="Times New Roman" w:hAnsi="Times New Roman" w:eastAsia="宋体"/>
          <w:i/>
          <w:sz w:val="21"/>
        </w:rPr>
        <w:t>Δ P=Σ P_g</w:t>
      </w:r>
      <w:r>
        <w:rPr>
          <w:rFonts w:ascii="Times New Roman" w:hAnsi="Times New Roman" w:eastAsia="宋体"/>
          <w:sz w:val="21"/>
        </w:rPr>
        <w:t xml:space="preserve">，由其余在线机组按可用备用系数 </w:t>
      </w:r>
      <w:r>
        <w:rPr>
          <w:rFonts w:ascii="Times New Roman" w:hAnsi="Times New Roman" w:eastAsia="宋体"/>
          <w:i/>
          <w:sz w:val="21"/>
        </w:rPr>
        <w:t>κ</w:t>
      </w:r>
      <w:r>
        <w:rPr>
          <w:rFonts w:ascii="Times New Roman" w:hAnsi="Times New Roman" w:eastAsia="宋体"/>
          <w:sz w:val="21"/>
        </w:rPr>
        <w:t xml:space="preserve"> 再调度，未补足部分 </w:t>
      </w:r>
      <w:r>
        <w:rPr>
          <w:rFonts w:ascii="Times New Roman" w:hAnsi="Times New Roman" w:eastAsia="宋体"/>
          <w:i/>
          <w:sz w:val="21"/>
        </w:rPr>
        <w:t>Δ P_short</w:t>
      </w:r>
      <w:r>
        <w:rPr>
          <w:rFonts w:ascii="Times New Roman" w:hAnsi="Times New Roman" w:eastAsia="宋体"/>
          <w:sz w:val="21"/>
        </w:rPr>
        <w:t xml:space="preserve"> 是频率事件的驱动量。无功侧：机组退出同时带走 </w:t>
      </w:r>
      <w:r>
        <w:rPr>
          <w:rFonts w:ascii="Times New Roman" w:hAnsi="Times New Roman" w:eastAsia="宋体"/>
          <w:i/>
          <w:sz w:val="21"/>
        </w:rPr>
        <w:t>Δ Q=Σ Q_g</w:t>
      </w:r>
      <w:r>
        <w:rPr>
          <w:rFonts w:ascii="Times New Roman" w:hAnsi="Times New Roman" w:eastAsia="宋体"/>
          <w:sz w:val="21"/>
        </w:rPr>
        <w:t>，这部分</w:t>
      </w:r>
      <w:r>
        <w:rPr>
          <w:rFonts w:ascii="Times New Roman" w:hAnsi="Times New Roman" w:eastAsia="宋体"/>
          <w:b/>
          <w:sz w:val="21"/>
        </w:rPr>
        <w:t>不会</w:t>
      </w:r>
      <w:r>
        <w:rPr>
          <w:rFonts w:ascii="Times New Roman" w:hAnsi="Times New Roman" w:eastAsia="宋体"/>
          <w:sz w:val="21"/>
        </w:rPr>
        <w:t>被再调度补足，是母线电压型失效的主要驱动量（结果见 §3.5）。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2.3　准稳态级联引擎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引擎在</w:t>
      </w:r>
      <w:r>
        <w:rPr>
          <w:rFonts w:ascii="Times New Roman" w:hAnsi="Times New Roman" w:eastAsia="宋体"/>
          <w:b/>
          <w:sz w:val="21"/>
        </w:rPr>
        <w:t>同一孤岛内逐阶段迭代</w:t>
      </w:r>
      <w:r>
        <w:rPr>
          <w:rFonts w:ascii="Times New Roman" w:hAnsi="Times New Roman" w:eastAsia="宋体"/>
          <w:sz w:val="21"/>
        </w:rPr>
        <w:t>：每次只做一次 AC 潮流，然后判定失效、触发动作，动作改变网架后进入下一阶段，直到无新动作或达阶段上限。伪代码如下：</w:t>
      </w:r>
    </w:p>
    <w:p>
      <w:pPr>
        <w:spacing w:before="120" w:after="200" w:line="276" w:lineRule="auto"/>
        <w:ind w:left="113"/>
        <w:shd w:val="clear" w:color="auto" w:fill="F4F5F7"/>
      </w:pPr>
      <w:r>
        <w:rPr>
          <w:rFonts w:ascii="Consolas" w:hAnsi="Consolas" w:eastAsia="等线"/>
          <w:sz w:val="17"/>
        </w:rPr>
        <w:t>for each scenario s in S:</w:t>
        <w:br/>
      </w:r>
      <w:r>
        <w:rPr>
          <w:rFonts w:ascii="Consolas" w:hAnsi="Consolas" w:eastAsia="等线"/>
          <w:sz w:val="17"/>
        </w:rPr>
        <w:t xml:space="preserve">    case ← base_case(load_level, retirement_set)</w:t>
        <w:br/>
      </w:r>
      <w:r>
        <w:rPr>
          <w:rFonts w:ascii="Consolas" w:hAnsi="Consolas" w:eastAsia="等线"/>
          <w:sz w:val="17"/>
        </w:rPr>
        <w:t xml:space="preserve">    apply initial outages (gen_trip, line_trip);  log ← [];  stage ← 0;  dead ← ∅</w:t>
        <w:br/>
      </w:r>
      <w:r>
        <w:rPr>
          <w:rFonts w:ascii="Consolas" w:hAnsi="Consolas" w:eastAsia="等线"/>
          <w:sz w:val="17"/>
        </w:rPr>
        <w:t xml:space="preserve">    redispatch(case, ΔP);  ΔP_short ← ΔP − ΔP_picked</w:t>
        <w:br/>
      </w:r>
      <w:r>
        <w:rPr>
          <w:rFonts w:ascii="Consolas" w:hAnsi="Consolas" w:eastAsia="等线"/>
          <w:sz w:val="17"/>
        </w:rPr>
        <w:t xml:space="preserve">    while 有新动作 and stage &lt; K_max:</w:t>
        <w:br/>
      </w:r>
      <w:r>
        <w:rPr>
          <w:rFonts w:ascii="Consolas" w:hAnsi="Consolas" w:eastAsia="等线"/>
          <w:sz w:val="17"/>
        </w:rPr>
        <w:t xml:space="preserve">        stage += 1</w:t>
        <w:br/>
      </w:r>
      <w:r>
        <w:rPr>
          <w:rFonts w:ascii="Consolas" w:hAnsi="Consolas" w:eastAsia="等线"/>
          <w:sz w:val="17"/>
        </w:rPr>
        <w:t xml:space="preserve">        for each island in connected_components(case):</w:t>
        <w:br/>
      </w:r>
      <w:r>
        <w:rPr>
          <w:rFonts w:ascii="Consolas" w:hAnsi="Consolas" w:eastAsia="等线"/>
          <w:sz w:val="17"/>
        </w:rPr>
        <w:t xml:space="preserve">            if 岛内无在运电源:  mark F3 for all buses;  dead ∪= island;  remove(island);  continue</w:t>
        <w:br/>
      </w:r>
      <w:r>
        <w:rPr>
          <w:rFonts w:ascii="Consolas" w:hAnsi="Consolas" w:eastAsia="等线"/>
          <w:sz w:val="17"/>
        </w:rPr>
        <w:t xml:space="preserve">            res, shed, ok ← solve_ac_pf(island)</w:t>
        <w:br/>
      </w:r>
      <w:r>
        <w:rPr>
          <w:rFonts w:ascii="Consolas" w:hAnsi="Consolas" w:eastAsia="等线"/>
          <w:sz w:val="17"/>
        </w:rPr>
        <w:t xml:space="preserve">            if not ok:  mark F2b;  shed ← VCLS(island);  remove(island)</w:t>
        <w:br/>
      </w:r>
      <w:r>
        <w:rPr>
          <w:rFonts w:ascii="Consolas" w:hAnsi="Consolas" w:eastAsia="等线"/>
          <w:sz w:val="17"/>
        </w:rPr>
        <w:t xml:space="preserve">            write_back(case, shed)                 # ★ 必须写回，否则重复计数</w:t>
        <w:br/>
      </w:r>
      <w:r>
        <w:rPr>
          <w:rFonts w:ascii="Consolas" w:hAnsi="Consolas" w:eastAsia="等线"/>
          <w:sz w:val="17"/>
        </w:rPr>
        <w:t xml:space="preserve">        for b: if V_b ∉ [0.95,1.05] → F1 (且视基线判 F1_new)</w:t>
        <w:br/>
      </w:r>
      <w:r>
        <w:rPr>
          <w:rFonts w:ascii="Consolas" w:hAnsi="Consolas" w:eastAsia="等线"/>
          <w:sz w:val="17"/>
        </w:rPr>
        <w:t xml:space="preserve">        for b: if V_b &lt; 0.80        → F2a</w:t>
        <w:br/>
      </w:r>
      <w:r>
        <w:rPr>
          <w:rFonts w:ascii="Consolas" w:hAnsi="Consolas" w:eastAsia="等线"/>
          <w:sz w:val="17"/>
        </w:rPr>
        <w:t xml:space="preserve">        for l: if λ_l ≥ 1.25        → trip(l)                 # 线路过载跳闸</w:t>
        <w:br/>
      </w:r>
      <w:r>
        <w:rPr>
          <w:rFonts w:ascii="Consolas" w:hAnsi="Consolas" w:eastAsia="等线"/>
          <w:sz w:val="17"/>
        </w:rPr>
        <w:t xml:space="preserve">        for g: if V_g ∉ [0.90,1.10] → trip(g), 标签 F2c       # 机端电压跳机</w:t>
        <w:br/>
      </w:r>
      <w:r>
        <w:rPr>
          <w:rFonts w:ascii="Consolas" w:hAnsi="Consolas" w:eastAsia="等线"/>
          <w:sz w:val="17"/>
        </w:rPr>
        <w:t xml:space="preserve">        for b: UVLS 分级减载（0.92/0.88，限轮次）</w:t>
        <w:br/>
      </w:r>
      <w:r>
        <w:rPr>
          <w:rFonts w:ascii="Consolas" w:hAnsi="Consolas" w:eastAsia="等线"/>
          <w:sz w:val="17"/>
        </w:rPr>
        <w:t xml:space="preserve">        f_nadir, RoCoF ← SFR(ΔP_short)</w:t>
        <w:br/>
      </w:r>
      <w:r>
        <w:rPr>
          <w:rFonts w:ascii="Consolas" w:hAnsi="Consolas" w:eastAsia="等线"/>
          <w:sz w:val="17"/>
        </w:rPr>
        <w:t xml:space="preserve">        if f_nadir &lt; 57.5: trip(最低频机组); ΔP_short += P</w:t>
        <w:br/>
      </w:r>
      <w:r>
        <w:rPr>
          <w:rFonts w:ascii="Consolas" w:hAnsi="Consolas" w:eastAsia="等线"/>
          <w:sz w:val="17"/>
        </w:rPr>
        <w:t xml:space="preserve">        elif f_nadir &lt; UFLS 各轮阈值: UFLS(切负荷 7%/轮)</w:t>
        <w:br/>
      </w:r>
      <w:r>
        <w:rPr>
          <w:rFonts w:ascii="Consolas" w:hAnsi="Consolas" w:eastAsia="等线"/>
          <w:sz w:val="17"/>
        </w:rPr>
        <w:t xml:space="preserve">    compute I_b, ℓ_b, S_b, τ_b for all b</w:t>
        <w:br/>
      </w:r>
      <w:r>
        <w:rPr>
          <w:rFonts w:ascii="Consolas" w:hAnsi="Consolas" w:eastAsia="等线"/>
          <w:sz w:val="17"/>
        </w:rPr>
        <w:t>aggregate: P_b, R_b, BFI, 排序一致性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原型阶段暴露的三个建模陷阱，全部已修正，且是这类研究最容易错的地方：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5　原型阶段暴露的三个建模陷阱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11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陷阱</w:t>
            </w:r>
          </w:p>
        </w:tc>
        <w:tc>
          <w:tcPr>
            <w:tcW w:type="dxa" w:w="4135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现象</w:t>
            </w:r>
          </w:p>
        </w:tc>
        <w:tc>
          <w:tcPr>
            <w:tcW w:type="dxa" w:w="3565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修正</w:t>
            </w:r>
          </w:p>
        </w:tc>
      </w:tr>
      <w:tr>
        <w:tc>
          <w:tcPr>
            <w:tcW w:type="dxa" w:w="171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减载重复计数</w:t>
            </w:r>
          </w:p>
        </w:tc>
        <w:tc>
          <w:tcPr>
            <w:tcW w:type="dxa" w:w="413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电压崩溃后均匀减载但未写回算例，同一孤岛每阶段重复减载，累计失负荷达初始负荷 </w:t>
            </w:r>
            <w:r>
              <w:rPr>
                <w:rFonts w:ascii="Times New Roman" w:hAnsi="Times New Roman" w:eastAsia="宋体"/>
                <w:b/>
                <w:sz w:val="18"/>
              </w:rPr>
              <w:t>165%</w:t>
            </w:r>
          </w:p>
        </w:tc>
        <w:tc>
          <w:tcPr>
            <w:tcW w:type="dxa" w:w="356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VCLS 减载量必须写回算例并进入 </w:t>
            </w:r>
            <w:r>
              <w:rPr>
                <w:rFonts w:ascii="Consolas" w:hAnsi="Consolas" w:eastAsia="等线"/>
                <w:sz w:val="16"/>
              </w:rPr>
              <w:t>dead</w:t>
            </w:r>
            <w:r>
              <w:rPr>
                <w:rFonts w:ascii="Times New Roman" w:hAnsi="Times New Roman" w:eastAsia="宋体"/>
                <w:sz w:val="18"/>
              </w:rPr>
              <w:t xml:space="preserve"> 集；并加约束 </w:t>
            </w:r>
            <w:r>
              <w:rPr>
                <w:rFonts w:ascii="Times New Roman" w:hAnsi="Times New Roman" w:eastAsia="宋体"/>
                <w:i/>
                <w:sz w:val="18"/>
              </w:rPr>
              <w:t>Σℓ≤1</w:t>
            </w:r>
          </w:p>
        </w:tc>
      </w:tr>
      <w:tr>
        <w:tc>
          <w:tcPr>
            <w:tcW w:type="dxa" w:w="171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频率口径错误</w:t>
            </w:r>
          </w:p>
        </w:tc>
        <w:tc>
          <w:tcPr>
            <w:tcW w:type="dxa" w:w="413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用“再调度后残余缺额”算 </w:t>
            </w:r>
            <w:r>
              <w:rPr>
                <w:rFonts w:ascii="Times New Roman" w:hAnsi="Times New Roman" w:eastAsia="宋体"/>
                <w:i/>
                <w:sz w:val="18"/>
              </w:rPr>
              <w:t>f_nadir</w:t>
            </w:r>
            <w:r>
              <w:rPr>
                <w:rFonts w:ascii="Times New Roman" w:hAnsi="Times New Roman" w:eastAsia="宋体"/>
                <w:sz w:val="18"/>
              </w:rPr>
              <w:t>，结果恒为 60 Hz，UFLS 与低频切机永不触发</w:t>
            </w:r>
          </w:p>
        </w:tc>
        <w:tc>
          <w:tcPr>
            <w:tcW w:type="dxa" w:w="356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f_nadir</w:t>
            </w:r>
            <w:r>
              <w:rPr>
                <w:rFonts w:ascii="Times New Roman" w:hAnsi="Times New Roman" w:eastAsia="宋体"/>
                <w:sz w:val="18"/>
              </w:rPr>
              <w:t xml:space="preserve"> 用一次调频窗口内的缺额（不含 AGC 恢复量）</w:t>
            </w:r>
          </w:p>
        </w:tc>
      </w:tr>
      <w:tr>
        <w:tc>
          <w:tcPr>
            <w:tcW w:type="dxa" w:w="171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UVLS 不限轮次</w:t>
            </w:r>
          </w:p>
        </w:tc>
        <w:tc>
          <w:tcPr>
            <w:tcW w:type="dxa" w:w="413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每个阶段全网母线都被标记失效，BFI 立刻饱和到 1</w:t>
            </w:r>
          </w:p>
        </w:tc>
        <w:tc>
          <w:tcPr>
            <w:tcW w:type="dxa" w:w="356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限轮次（默认 2 轮），并把负荷损失单列为 F4 而非失效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2.4　保护与安控模型（实现参数）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6　引擎实际使用的保护与安控定值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613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环节</w:t>
            </w:r>
          </w:p>
        </w:tc>
        <w:tc>
          <w:tcPr>
            <w:tcW w:type="dxa" w:w="3496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判据 / 定值</w:t>
            </w:r>
          </w:p>
        </w:tc>
        <w:tc>
          <w:tcPr>
            <w:tcW w:type="dxa" w:w="255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动作</w:t>
            </w:r>
          </w:p>
        </w:tc>
        <w:tc>
          <w:tcPr>
            <w:tcW w:type="dxa" w:w="1748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依据</w:t>
            </w:r>
          </w:p>
        </w:tc>
      </w:tr>
      <w:tr>
        <w:tc>
          <w:tcPr>
            <w:tcW w:type="dxa" w:w="161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电压合格区间</w:t>
            </w:r>
          </w:p>
        </w:tc>
        <w:tc>
          <w:tcPr>
            <w:tcW w:type="dxa" w:w="349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V_b∈[0.95,1.05]</w:t>
            </w:r>
            <w:r>
              <w:rPr>
                <w:rFonts w:ascii="Times New Roman" w:hAnsi="Times New Roman" w:eastAsia="宋体"/>
                <w:sz w:val="18"/>
              </w:rPr>
              <w:t xml:space="preserve"> pu</w:t>
            </w:r>
          </w:p>
        </w:tc>
        <w:tc>
          <w:tcPr>
            <w:tcW w:type="dxa" w:w="25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越限记 F1；级联新增记 F1_new</w:t>
            </w:r>
          </w:p>
        </w:tc>
        <w:tc>
          <w:tcPr>
            <w:tcW w:type="dxa" w:w="174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国标/工程惯例</w:t>
            </w:r>
          </w:p>
        </w:tc>
      </w:tr>
      <w:tr>
        <w:tc>
          <w:tcPr>
            <w:tcW w:type="dxa" w:w="161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电压崩溃</w:t>
            </w:r>
          </w:p>
        </w:tc>
        <w:tc>
          <w:tcPr>
            <w:tcW w:type="dxa" w:w="349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V_b&lt;0.80</w:t>
            </w:r>
            <w:r>
              <w:rPr>
                <w:rFonts w:ascii="Times New Roman" w:hAnsi="Times New Roman" w:eastAsia="宋体"/>
                <w:sz w:val="18"/>
              </w:rPr>
              <w:t xml:space="preserve"> pu 或潮流不收敛</w:t>
            </w:r>
          </w:p>
        </w:tc>
        <w:tc>
          <w:tcPr>
            <w:tcW w:type="dxa" w:w="25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记 F2a / F2b，该孤岛退运</w:t>
            </w:r>
          </w:p>
        </w:tc>
        <w:tc>
          <w:tcPr>
            <w:tcW w:type="dxa" w:w="174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VCLS 临界电压</w:t>
            </w:r>
          </w:p>
        </w:tc>
      </w:tr>
      <w:tr>
        <w:tc>
          <w:tcPr>
            <w:tcW w:type="dxa" w:w="161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线路过载</w:t>
            </w:r>
          </w:p>
        </w:tc>
        <w:tc>
          <w:tcPr>
            <w:tcW w:type="dxa" w:w="349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载流率 </w:t>
            </w:r>
            <w:r>
              <w:rPr>
                <w:rFonts w:ascii="Times New Roman" w:hAnsi="Times New Roman" w:eastAsia="宋体"/>
                <w:i/>
                <w:sz w:val="18"/>
              </w:rPr>
              <w:t>λ_l≥1.25</w:t>
            </w:r>
          </w:p>
        </w:tc>
        <w:tc>
          <w:tcPr>
            <w:tcW w:type="dxa" w:w="25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跳闸（</w:t>
            </w:r>
            <w:r>
              <w:rPr>
                <w:rFonts w:ascii="Consolas" w:hAnsi="Consolas" w:eastAsia="等线"/>
                <w:sz w:val="16"/>
              </w:rPr>
              <w:t>line_overload_trip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174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NERC 过载保护量级</w:t>
            </w:r>
          </w:p>
        </w:tc>
      </w:tr>
      <w:tr>
        <w:tc>
          <w:tcPr>
            <w:tcW w:type="dxa" w:w="161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机端电压保护</w:t>
            </w:r>
          </w:p>
        </w:tc>
        <w:tc>
          <w:tcPr>
            <w:tcW w:type="dxa" w:w="349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V_g∉[0.90,1.10]</w:t>
            </w:r>
            <w:r>
              <w:rPr>
                <w:rFonts w:ascii="Times New Roman" w:hAnsi="Times New Roman" w:eastAsia="宋体"/>
                <w:sz w:val="18"/>
              </w:rPr>
              <w:t xml:space="preserve"> pu</w:t>
            </w:r>
          </w:p>
        </w:tc>
        <w:tc>
          <w:tcPr>
            <w:tcW w:type="dxa" w:w="25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机组跳闸（</w:t>
            </w:r>
            <w:r>
              <w:rPr>
                <w:rFonts w:ascii="Consolas" w:hAnsi="Consolas" w:eastAsia="等线"/>
                <w:sz w:val="16"/>
              </w:rPr>
              <w:t>gen_trip_voltage</w:t>
            </w:r>
            <w:r>
              <w:rPr>
                <w:rFonts w:ascii="Times New Roman" w:hAnsi="Times New Roman" w:eastAsia="宋体"/>
                <w:sz w:val="18"/>
              </w:rPr>
              <w:t>，标签 F2c）</w:t>
            </w:r>
          </w:p>
        </w:tc>
        <w:tc>
          <w:tcPr>
            <w:tcW w:type="dxa" w:w="174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发电机失磁/过压保护</w:t>
            </w:r>
          </w:p>
        </w:tc>
      </w:tr>
      <w:tr>
        <w:tc>
          <w:tcPr>
            <w:tcW w:type="dxa" w:w="161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UVLS（两级）</w:t>
            </w:r>
          </w:p>
        </w:tc>
        <w:tc>
          <w:tcPr>
            <w:tcW w:type="dxa" w:w="349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V&lt;0.92</w:t>
            </w:r>
            <w:r>
              <w:rPr>
                <w:rFonts w:ascii="Times New Roman" w:hAnsi="Times New Roman" w:eastAsia="宋体"/>
                <w:sz w:val="18"/>
              </w:rPr>
              <w:t xml:space="preserve"> 切 10%；</w:t>
            </w:r>
            <w:r>
              <w:rPr>
                <w:rFonts w:ascii="Times New Roman" w:hAnsi="Times New Roman" w:eastAsia="宋体"/>
                <w:i/>
                <w:sz w:val="18"/>
              </w:rPr>
              <w:t>V&lt;0.88</w:t>
            </w:r>
            <w:r>
              <w:rPr>
                <w:rFonts w:ascii="Times New Roman" w:hAnsi="Times New Roman" w:eastAsia="宋体"/>
                <w:sz w:val="18"/>
              </w:rPr>
              <w:t xml:space="preserve"> 切 25%；最多 2 轮</w:t>
            </w:r>
          </w:p>
        </w:tc>
        <w:tc>
          <w:tcPr>
            <w:tcW w:type="dxa" w:w="25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分级减载（</w:t>
            </w:r>
            <w:r>
              <w:rPr>
                <w:rFonts w:ascii="Consolas" w:hAnsi="Consolas" w:eastAsia="等线"/>
                <w:sz w:val="16"/>
              </w:rPr>
              <w:t>uvls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174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安控方案典型配置</w:t>
            </w:r>
          </w:p>
        </w:tc>
      </w:tr>
      <w:tr>
        <w:tc>
          <w:tcPr>
            <w:tcW w:type="dxa" w:w="161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低频切机</w:t>
            </w:r>
          </w:p>
        </w:tc>
        <w:tc>
          <w:tcPr>
            <w:tcW w:type="dxa" w:w="349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f_nadir&lt;57.5</w:t>
            </w:r>
            <w:r>
              <w:rPr>
                <w:rFonts w:ascii="Times New Roman" w:hAnsi="Times New Roman" w:eastAsia="宋体"/>
                <w:sz w:val="18"/>
              </w:rPr>
              <w:t xml:space="preserve"> Hz</w:t>
            </w:r>
          </w:p>
        </w:tc>
        <w:tc>
          <w:tcPr>
            <w:tcW w:type="dxa" w:w="25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切除频率最低机组</w:t>
            </w:r>
          </w:p>
        </w:tc>
        <w:tc>
          <w:tcPr>
            <w:tcW w:type="dxa" w:w="174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发电机低频保护</w:t>
            </w:r>
          </w:p>
        </w:tc>
      </w:tr>
      <w:tr>
        <w:tc>
          <w:tcPr>
            <w:tcW w:type="dxa" w:w="161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UFLS（三级）</w:t>
            </w:r>
          </w:p>
        </w:tc>
        <w:tc>
          <w:tcPr>
            <w:tcW w:type="dxa" w:w="349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59.3 / 58.9 / 58.5 Hz，各切 7%</w:t>
            </w:r>
          </w:p>
        </w:tc>
        <w:tc>
          <w:tcPr>
            <w:tcW w:type="dxa" w:w="25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分级切负荷</w:t>
            </w:r>
          </w:p>
        </w:tc>
        <w:tc>
          <w:tcPr>
            <w:tcW w:type="dxa" w:w="174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低频减载导则</w:t>
            </w:r>
          </w:p>
        </w:tc>
      </w:tr>
      <w:tr>
        <w:tc>
          <w:tcPr>
            <w:tcW w:type="dxa" w:w="161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再调度备用系数</w:t>
            </w:r>
          </w:p>
        </w:tc>
        <w:tc>
          <w:tcPr>
            <w:tcW w:type="dxa" w:w="349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κ=0.90</w:t>
            </w:r>
            <w:r>
              <w:rPr>
                <w:rFonts w:ascii="Times New Roman" w:hAnsi="Times New Roman" w:eastAsia="宋体"/>
                <w:sz w:val="18"/>
              </w:rPr>
              <w:t>，</w:t>
            </w:r>
            <w:r>
              <w:rPr>
                <w:rFonts w:ascii="Times New Roman" w:hAnsi="Times New Roman" w:eastAsia="宋体"/>
                <w:i/>
                <w:sz w:val="18"/>
              </w:rPr>
              <w:t>m=0</w:t>
            </w:r>
            <w:r>
              <w:rPr>
                <w:rFonts w:ascii="Times New Roman" w:hAnsi="Times New Roman" w:eastAsia="宋体"/>
                <w:sz w:val="18"/>
              </w:rPr>
              <w:t>（IEEE 30 数据自洽，无需补量）</w:t>
            </w:r>
          </w:p>
        </w:tc>
        <w:tc>
          <w:tcPr>
            <w:tcW w:type="dxa" w:w="25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在线机组按备用头寸分摊</w:t>
            </w:r>
          </w:p>
        </w:tc>
        <w:tc>
          <w:tcPr>
            <w:tcW w:type="dxa" w:w="174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161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频率动态</w:t>
            </w:r>
          </w:p>
        </w:tc>
        <w:tc>
          <w:tcPr>
            <w:tcW w:type="dxa" w:w="349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单质块 SFR：</w:t>
            </w:r>
            <w:r>
              <w:rPr>
                <w:rFonts w:ascii="Times New Roman" w:hAnsi="Times New Roman" w:eastAsia="宋体"/>
                <w:i/>
                <w:sz w:val="18"/>
              </w:rPr>
              <w:t>H=5.0</w:t>
            </w:r>
            <w:r>
              <w:rPr>
                <w:rFonts w:ascii="Times New Roman" w:hAnsi="Times New Roman" w:eastAsia="宋体"/>
                <w:sz w:val="18"/>
              </w:rPr>
              <w:t xml:space="preserve"> s（低惯量场景 3.0 s）、调差 5%、阻尼 1.0、</w:t>
            </w:r>
            <w:r>
              <w:rPr>
                <w:rFonts w:ascii="Times New Roman" w:hAnsi="Times New Roman" w:eastAsia="宋体"/>
                <w:i/>
                <w:sz w:val="18"/>
              </w:rPr>
              <w:t>T_g=0.3</w:t>
            </w:r>
            <w:r>
              <w:rPr>
                <w:rFonts w:ascii="Times New Roman" w:hAnsi="Times New Roman" w:eastAsia="宋体"/>
                <w:sz w:val="18"/>
              </w:rPr>
              <w:t xml:space="preserve"> s</w:t>
            </w:r>
          </w:p>
        </w:tc>
        <w:tc>
          <w:tcPr>
            <w:tcW w:type="dxa" w:w="25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f_nadir</w:t>
            </w:r>
            <w:r>
              <w:rPr>
                <w:rFonts w:ascii="Times New Roman" w:hAnsi="Times New Roman" w:eastAsia="宋体"/>
                <w:sz w:val="18"/>
              </w:rPr>
              <w:t>、RoCoF</w:t>
            </w:r>
          </w:p>
        </w:tc>
        <w:tc>
          <w:tcPr>
            <w:tcW w:type="dxa" w:w="174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标准 SFR 模型</w:t>
            </w:r>
          </w:p>
        </w:tc>
      </w:tr>
      <w:tr>
        <w:tc>
          <w:tcPr>
            <w:tcW w:type="dxa" w:w="161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迭代上限</w:t>
            </w:r>
          </w:p>
        </w:tc>
        <w:tc>
          <w:tcPr>
            <w:tcW w:type="dxa" w:w="349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阶段数 15；发散时减载 5%</w:t>
            </w:r>
          </w:p>
        </w:tc>
        <w:tc>
          <w:tcPr>
            <w:tcW w:type="dxa" w:w="25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防止死循环</w:t>
            </w:r>
          </w:p>
        </w:tc>
        <w:tc>
          <w:tcPr>
            <w:tcW w:type="dxa" w:w="174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2.5　指标体系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2"/>
        </w:rPr>
        <w:t>2.5.1　母线级（核心产出）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7　母线级指标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96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4706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定义</w:t>
            </w:r>
          </w:p>
        </w:tc>
        <w:tc>
          <w:tcPr>
            <w:tcW w:type="dxa" w:w="2709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回答的问题</w:t>
            </w:r>
          </w:p>
        </w:tc>
      </w:tr>
      <w:tr>
        <w:tc>
          <w:tcPr>
            <w:tcW w:type="dxa" w:w="199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失效概率 </w:t>
            </w:r>
            <w:r>
              <w:rPr>
                <w:rFonts w:ascii="Times New Roman" w:hAnsi="Times New Roman" w:eastAsia="宋体"/>
                <w:i/>
                <w:sz w:val="18"/>
              </w:rPr>
              <w:t>P_b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Σ_s w_s I_b(s)</w:t>
            </w:r>
          </w:p>
        </w:tc>
        <w:tc>
          <w:tcPr>
            <w:tcW w:type="dxa" w:w="270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该母线在场景集下失效的频率</w:t>
            </w:r>
          </w:p>
        </w:tc>
      </w:tr>
      <w:tr>
        <w:tc>
          <w:tcPr>
            <w:tcW w:type="dxa" w:w="199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期望风险 </w:t>
            </w:r>
            <w:r>
              <w:rPr>
                <w:rFonts w:ascii="Times New Roman" w:hAnsi="Times New Roman" w:eastAsia="宋体"/>
                <w:i/>
                <w:sz w:val="18"/>
              </w:rPr>
              <w:t>R_b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Σ_s w_s S_b(s)</w:t>
            </w:r>
            <w:r>
              <w:rPr>
                <w:rFonts w:ascii="Times New Roman" w:hAnsi="Times New Roman" w:eastAsia="宋体"/>
                <w:sz w:val="18"/>
              </w:rPr>
              <w:t xml:space="preserve">，其中 </w:t>
            </w:r>
            <w:r>
              <w:rPr>
                <w:rFonts w:ascii="Times New Roman" w:hAnsi="Times New Roman" w:eastAsia="宋体"/>
                <w:i/>
                <w:sz w:val="18"/>
              </w:rPr>
              <w:t>S_b=0.35min(δ_b/0.10,1)+0.15 1[V_b&lt;0.8]+0.25 1[F3_b]+0.25 ℓ_b</w:t>
            </w:r>
          </w:p>
        </w:tc>
        <w:tc>
          <w:tcPr>
            <w:tcW w:type="dxa" w:w="270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综合越限幅度、崩溃、失电、失负荷的严重度</w:t>
            </w:r>
          </w:p>
        </w:tc>
      </w:tr>
      <w:tr>
        <w:tc>
          <w:tcPr>
            <w:tcW w:type="dxa" w:w="199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最早/平均首次失效阶段 </w:t>
            </w:r>
            <w:r>
              <w:rPr>
                <w:rFonts w:ascii="Times New Roman" w:hAnsi="Times New Roman" w:eastAsia="宋体"/>
                <w:i/>
                <w:sz w:val="18"/>
              </w:rPr>
              <w:t>τ_b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首次失效所处级联阶段的均值</w:t>
            </w:r>
          </w:p>
        </w:tc>
        <w:tc>
          <w:tcPr>
            <w:tcW w:type="dxa" w:w="270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传播速度：越小越靠近源头</w:t>
            </w:r>
          </w:p>
        </w:tc>
      </w:tr>
      <w:tr>
        <w:tc>
          <w:tcPr>
            <w:tcW w:type="dxa" w:w="199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最大失负荷率 </w:t>
            </w:r>
            <w:r>
              <w:rPr>
                <w:rFonts w:ascii="Times New Roman" w:hAnsi="Times New Roman" w:eastAsia="宋体"/>
                <w:i/>
                <w:sz w:val="18"/>
              </w:rPr>
              <w:t>ℓ_b^max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max_s ℓ_b(s)</w:t>
            </w:r>
          </w:p>
        </w:tc>
        <w:tc>
          <w:tcPr>
            <w:tcW w:type="dxa" w:w="270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该母线可承受的负荷损失</w:t>
            </w:r>
          </w:p>
        </w:tc>
      </w:tr>
      <w:tr>
        <w:tc>
          <w:tcPr>
            <w:tcW w:type="dxa" w:w="199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失效因果链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触发该母线失效的动作序列</w:t>
            </w:r>
          </w:p>
        </w:tc>
        <w:tc>
          <w:tcPr>
            <w:tcW w:type="dxa" w:w="270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可解释性与可追溯性</w:t>
            </w:r>
          </w:p>
        </w:tc>
      </w:tr>
    </w:tbl>
    <w:p>
      <w:pPr>
        <w:spacing w:after="40"/>
      </w:pP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 xml:space="preserve">排序方式：按 </w:t>
      </w:r>
      <w:r>
        <w:rPr>
          <w:rFonts w:ascii="Times New Roman" w:hAnsi="Times New Roman" w:eastAsia="宋体"/>
          <w:i/>
          <w:sz w:val="21"/>
        </w:rPr>
        <w:t>R_b</w:t>
      </w:r>
      <w:r>
        <w:rPr>
          <w:rFonts w:ascii="Times New Roman" w:hAnsi="Times New Roman" w:eastAsia="宋体"/>
          <w:sz w:val="21"/>
        </w:rPr>
        <w:t xml:space="preserve"> 降序得“关键母线清单”，按 </w:t>
      </w:r>
      <w:r>
        <w:rPr>
          <w:rFonts w:ascii="Times New Roman" w:hAnsi="Times New Roman" w:eastAsia="宋体"/>
          <w:i/>
          <w:sz w:val="21"/>
        </w:rPr>
        <w:t>τ_b</w:t>
      </w:r>
      <w:r>
        <w:rPr>
          <w:rFonts w:ascii="Times New Roman" w:hAnsi="Times New Roman" w:eastAsia="宋体"/>
          <w:sz w:val="21"/>
        </w:rPr>
        <w:t xml:space="preserve"> 升序得“传播源头清单”。两者</w:t>
      </w:r>
      <w:r>
        <w:rPr>
          <w:rFonts w:ascii="Times New Roman" w:hAnsi="Times New Roman" w:eastAsia="宋体"/>
          <w:b/>
          <w:sz w:val="21"/>
        </w:rPr>
        <w:t>往往不是同一批母线</w:t>
      </w:r>
      <w:r>
        <w:rPr>
          <w:rFonts w:ascii="Times New Roman" w:hAnsi="Times New Roman" w:eastAsia="宋体"/>
          <w:sz w:val="21"/>
        </w:rPr>
        <w:t>，这个差异本身是工程价值所在（源头母线适合做预警锚点，高危母线才需要加固）。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2"/>
        </w:rPr>
        <w:t>2.5.2　系统级</w:t>
      </w:r>
    </w:p>
    <w:p>
      <w:pPr>
        <w:spacing w:before="120" w:after="200" w:line="276" w:lineRule="auto"/>
        <w:ind w:left="113"/>
        <w:shd w:val="clear" w:color="auto" w:fill="F4F5F7"/>
      </w:pPr>
      <w:r>
        <w:rPr>
          <w:rFonts w:ascii="Consolas" w:hAnsi="Consolas" w:eastAsia="等线"/>
          <w:sz w:val="17"/>
        </w:rPr>
        <w:t>BFI(s) = #{ b : I_b(s)=1 } / N            # 场景 s 的母线失效比例</w:t>
        <w:br/>
      </w:r>
      <w:r>
        <w:rPr>
          <w:rFonts w:ascii="Consolas" w:hAnsi="Consolas" w:eastAsia="等线"/>
          <w:sz w:val="17"/>
        </w:rPr>
        <w:t>BFI(k) = Σ_s w_s · BFI(s)                 # 退出 k 台机组的期望失效比例</w:t>
        <w:br/>
      </w:r>
      <w:r>
        <w:rPr>
          <w:rFonts w:ascii="Consolas" w:hAnsi="Consolas" w:eastAsia="等线"/>
          <w:sz w:val="17"/>
        </w:rPr>
        <w:t>跃变比 = BFI(k=2) / BFI(k=1)               # 风险放大量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2"/>
        </w:rPr>
        <w:t>2.5.3　场景权重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采用</w:t>
      </w:r>
      <w:r>
        <w:rPr>
          <w:rFonts w:ascii="Times New Roman" w:hAnsi="Times New Roman" w:eastAsia="宋体"/>
          <w:b/>
          <w:sz w:val="21"/>
        </w:rPr>
        <w:t>状态概率口径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Times New Roman" w:hAnsi="Times New Roman" w:eastAsia="宋体"/>
          <w:i/>
          <w:sz w:val="21"/>
        </w:rPr>
        <w:t>w_s ∝ ∏_i∈ outp∏_j∉ out(1-p)</w:t>
      </w:r>
      <w:r>
        <w:rPr>
          <w:rFonts w:ascii="Times New Roman" w:hAnsi="Times New Roman" w:eastAsia="宋体"/>
          <w:sz w:val="21"/>
        </w:rPr>
        <w:t xml:space="preserve">，其中 </w:t>
      </w:r>
      <w:r>
        <w:rPr>
          <w:rFonts w:ascii="Times New Roman" w:hAnsi="Times New Roman" w:eastAsia="宋体"/>
          <w:i/>
          <w:sz w:val="21"/>
        </w:rPr>
        <w:t>p=1-e^-λ_g T</w:t>
      </w:r>
      <w:r>
        <w:rPr>
          <w:rFonts w:ascii="Times New Roman" w:hAnsi="Times New Roman" w:eastAsia="宋体"/>
          <w:sz w:val="21"/>
        </w:rPr>
        <w:t xml:space="preserve">，取 </w:t>
      </w:r>
      <w:r>
        <w:rPr>
          <w:rFonts w:ascii="Times New Roman" w:hAnsi="Times New Roman" w:eastAsia="宋体"/>
          <w:i/>
          <w:sz w:val="21"/>
        </w:rPr>
        <w:t>λ_g=0.10</w:t>
      </w:r>
      <w:r>
        <w:rPr>
          <w:rFonts w:ascii="Times New Roman" w:hAnsi="Times New Roman" w:eastAsia="宋体"/>
          <w:sz w:val="21"/>
        </w:rPr>
        <w:t xml:space="preserve"> 次/年、</w:t>
      </w:r>
      <w:r>
        <w:rPr>
          <w:rFonts w:ascii="Times New Roman" w:hAnsi="Times New Roman" w:eastAsia="宋体"/>
          <w:i/>
          <w:sz w:val="21"/>
        </w:rPr>
        <w:t>T=1</w:t>
      </w:r>
      <w:r>
        <w:rPr>
          <w:rFonts w:ascii="Times New Roman" w:hAnsi="Times New Roman" w:eastAsia="宋体"/>
          <w:sz w:val="21"/>
        </w:rPr>
        <w:t xml:space="preserve"> 年，即单机年退出概率 </w:t>
      </w:r>
      <w:r>
        <w:rPr>
          <w:rFonts w:ascii="Times New Roman" w:hAnsi="Times New Roman" w:eastAsia="宋体"/>
          <w:i/>
          <w:sz w:val="21"/>
        </w:rPr>
        <w:t>p≈9.52\%</w:t>
      </w:r>
      <w:r>
        <w:rPr>
          <w:rFonts w:ascii="Times New Roman" w:hAnsi="Times New Roman" w:eastAsia="宋体"/>
          <w:sz w:val="21"/>
        </w:rPr>
        <w:t xml:space="preserve">。BFI 与 </w:t>
      </w:r>
      <w:r>
        <w:rPr>
          <w:rFonts w:ascii="Times New Roman" w:hAnsi="Times New Roman" w:eastAsia="宋体"/>
          <w:i/>
          <w:sz w:val="21"/>
        </w:rPr>
        <w:t>R_b</w:t>
      </w:r>
      <w:r>
        <w:rPr>
          <w:rFonts w:ascii="Times New Roman" w:hAnsi="Times New Roman" w:eastAsia="宋体"/>
          <w:sz w:val="21"/>
        </w:rPr>
        <w:t xml:space="preserve"> 均为该权重下的期望值；更换 </w:t>
      </w:r>
      <w:r>
        <w:rPr>
          <w:rFonts w:ascii="Times New Roman" w:hAnsi="Times New Roman" w:eastAsia="宋体"/>
          <w:i/>
          <w:sz w:val="21"/>
        </w:rPr>
        <w:t>λ_g</w:t>
      </w:r>
      <w:r>
        <w:rPr>
          <w:rFonts w:ascii="Times New Roman" w:hAnsi="Times New Roman" w:eastAsia="宋体"/>
          <w:sz w:val="21"/>
        </w:rPr>
        <w:t xml:space="preserve"> 会改变绝对值，但不改变同一 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 xml:space="preserve"> 内的排序。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2.6　算例选择与数据自洽性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 xml:space="preserve">研究改用 </w:t>
      </w:r>
      <w:r>
        <w:rPr>
          <w:rFonts w:ascii="Times New Roman" w:hAnsi="Times New Roman" w:eastAsia="宋体"/>
          <w:b/>
          <w:sz w:val="21"/>
        </w:rPr>
        <w:t>IEEE 30</w:t>
      </w:r>
      <w:r>
        <w:rPr>
          <w:rFonts w:ascii="Times New Roman" w:hAnsi="Times New Roman" w:eastAsia="宋体"/>
          <w:sz w:val="21"/>
        </w:rPr>
        <w:t xml:space="preserve"> 作为唯一算例：数据自洽（</w:t>
      </w:r>
      <w:r>
        <w:rPr>
          <w:rFonts w:ascii="Times New Roman" w:hAnsi="Times New Roman" w:eastAsia="宋体"/>
          <w:i/>
          <w:sz w:val="21"/>
        </w:rPr>
        <w:t>P_g≤ P_max</w:t>
      </w:r>
      <w:r>
        <w:rPr>
          <w:rFonts w:ascii="Times New Roman" w:hAnsi="Times New Roman" w:eastAsia="宋体"/>
          <w:sz w:val="21"/>
        </w:rPr>
        <w:t xml:space="preserve">、无 Q/V 越限），原生断面即处于低风险区制，且备用口径（补 15% 头寸 vs 不补）给出逐位相同的结果，结论不依赖任何人为补量假设。此前 IEEE 39 因原始数据多台机组 </w:t>
      </w:r>
      <w:r>
        <w:rPr>
          <w:rFonts w:ascii="Times New Roman" w:hAnsi="Times New Roman" w:eastAsia="宋体"/>
          <w:i/>
          <w:sz w:val="21"/>
        </w:rPr>
        <w:t>P_g&gt;P_max</w:t>
      </w:r>
      <w:r>
        <w:rPr>
          <w:rFonts w:ascii="Times New Roman" w:hAnsi="Times New Roman" w:eastAsia="宋体"/>
          <w:sz w:val="21"/>
        </w:rPr>
        <w:t>、其“无级联区”依赖给两台机组补 176 MW 虚构头寸而移出范围。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8　算例关键参数（IEEE 30）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37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627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取值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机组数 / 母线数</w:t>
            </w:r>
          </w:p>
        </w:tc>
        <w:tc>
          <w:tcPr>
            <w:tcW w:type="dxa" w:w="627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6 / 30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总有功负荷 / 备用率</w:t>
            </w:r>
          </w:p>
        </w:tc>
        <w:tc>
          <w:tcPr>
            <w:tcW w:type="dxa" w:w="627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189 MW / 75.8%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基准电压区间</w:t>
            </w:r>
          </w:p>
        </w:tc>
        <w:tc>
          <w:tcPr>
            <w:tcW w:type="dxa" w:w="627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[0.95, 1.05] pu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运行点</w:t>
            </w:r>
          </w:p>
        </w:tc>
        <w:tc>
          <w:tcPr>
            <w:tcW w:type="dxa" w:w="627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λ=1.00</w:t>
            </w:r>
            <w:r>
              <w:rPr>
                <w:rFonts w:ascii="Times New Roman" w:hAnsi="Times New Roman" w:eastAsia="宋体"/>
                <w:sz w:val="18"/>
              </w:rPr>
              <w:t>（原生断面）、</w:t>
            </w:r>
            <w:r>
              <w:rPr>
                <w:rFonts w:ascii="Times New Roman" w:hAnsi="Times New Roman" w:eastAsia="宋体"/>
                <w:i/>
                <w:sz w:val="18"/>
              </w:rPr>
              <w:t>λ=1.40</w:t>
            </w:r>
            <w:r>
              <w:rPr>
                <w:rFonts w:ascii="Times New Roman" w:hAnsi="Times New Roman" w:eastAsia="宋体"/>
                <w:sz w:val="18"/>
              </w:rPr>
              <w:t>（加载断面）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场景集</w:t>
            </w:r>
          </w:p>
        </w:tc>
        <w:tc>
          <w:tcPr>
            <w:tcW w:type="dxa" w:w="627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N-1 6 组 + N-2 15 组 + N-3 20 组 = 41 组/运行点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参数集</w:t>
            </w:r>
          </w:p>
        </w:tc>
        <w:tc>
          <w:tcPr>
            <w:tcW w:type="dxa" w:w="627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5 组（备用系数、过载阈值、惯量、UVLS 轮次扰动）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2.7　实现与复现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脚本与结果严格分离：</w:t>
      </w:r>
      <w:r>
        <w:rPr>
          <w:rFonts w:ascii="Consolas" w:hAnsi="Consolas" w:eastAsia="等线"/>
          <w:sz w:val="19"/>
        </w:rPr>
        <w:t>src/</w:t>
      </w:r>
      <w:r>
        <w:rPr>
          <w:rFonts w:ascii="Times New Roman" w:hAnsi="Times New Roman" w:eastAsia="宋体"/>
          <w:sz w:val="21"/>
        </w:rPr>
        <w:t xml:space="preserve"> 只放代码，</w:t>
      </w:r>
      <w:r>
        <w:rPr>
          <w:rFonts w:ascii="Consolas" w:hAnsi="Consolas" w:eastAsia="等线"/>
          <w:sz w:val="19"/>
        </w:rPr>
        <w:t>results/IEEE30/</w:t>
      </w:r>
      <w:r>
        <w:rPr>
          <w:rFonts w:ascii="Times New Roman" w:hAnsi="Times New Roman" w:eastAsia="宋体"/>
          <w:sz w:val="21"/>
        </w:rPr>
        <w:t xml:space="preserve"> 只放产物，两级子目录分别对应批量扫描（</w:t>
      </w:r>
      <w:r>
        <w:rPr>
          <w:rFonts w:ascii="Consolas" w:hAnsi="Consolas" w:eastAsia="等线"/>
          <w:sz w:val="19"/>
        </w:rPr>
        <w:t>P3_regime</w:t>
      </w:r>
      <w:r>
        <w:rPr>
          <w:rFonts w:ascii="Times New Roman" w:hAnsi="Times New Roman" w:eastAsia="宋体"/>
          <w:sz w:val="21"/>
        </w:rPr>
        <w:t>）与因果分析（</w:t>
      </w:r>
      <w:r>
        <w:rPr>
          <w:rFonts w:ascii="Consolas" w:hAnsi="Consolas" w:eastAsia="等线"/>
          <w:sz w:val="19"/>
        </w:rPr>
        <w:t>P4_causal</w:t>
      </w:r>
      <w:r>
        <w:rPr>
          <w:rFonts w:ascii="Times New Roman" w:hAnsi="Times New Roman" w:eastAsia="宋体"/>
          <w:sz w:val="21"/>
        </w:rPr>
        <w:t>）。全流程一条命令、约 35 秒可完整复现：</w:t>
      </w:r>
    </w:p>
    <w:p>
      <w:pPr>
        <w:spacing w:before="120" w:after="200" w:line="276" w:lineRule="auto"/>
        <w:ind w:left="113"/>
        <w:shd w:val="clear" w:color="auto" w:fill="F4F5F7"/>
      </w:pPr>
      <w:r>
        <w:rPr>
          <w:rFonts w:ascii="Consolas" w:hAnsi="Consolas" w:eastAsia="等线"/>
          <w:sz w:val="17"/>
        </w:rPr>
        <w:t>cd bus_failure_study</w:t>
        <w:br/>
      </w:r>
      <w:r>
        <w:rPr>
          <w:rFonts w:ascii="Consolas" w:hAnsi="Consolas" w:eastAsia="等线"/>
          <w:sz w:val="17"/>
        </w:rPr>
        <w:t>./run.sh p3     # 批量扫描：41 场景 × 5 参数集 × 2 运行点   ~20 s</w:t>
        <w:br/>
      </w:r>
      <w:r>
        <w:rPr>
          <w:rFonts w:ascii="Consolas" w:hAnsi="Consolas" w:eastAsia="等线"/>
          <w:sz w:val="17"/>
        </w:rPr>
        <w:t>./run.sh p4     # 因果链：五图三表                          ~15 s</w:t>
        <w:br/>
      </w:r>
      <w:r>
        <w:rPr>
          <w:rFonts w:ascii="Consolas" w:hAnsi="Consolas" w:eastAsia="等线"/>
          <w:sz w:val="17"/>
        </w:rPr>
        <w:t>./run.sh all    # 全部重跑                                  ~35 s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9　代码与产物清单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22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文件 / 目录</w:t>
            </w:r>
          </w:p>
        </w:tc>
        <w:tc>
          <w:tcPr>
            <w:tcW w:type="dxa" w:w="5989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src/cascade.py</w:t>
            </w:r>
          </w:p>
        </w:tc>
        <w:tc>
          <w:tcPr>
            <w:tcW w:type="dxa" w:w="598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级联引擎（AC 潮流 + 保护 + SFR + 失效判定 + 逐阶段 trace）</w:t>
            </w:r>
          </w:p>
        </w:tc>
      </w:tr>
      <w:tr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src/vcls.py</w:t>
            </w:r>
          </w:p>
        </w:tc>
        <w:tc>
          <w:tcPr>
            <w:tcW w:type="dxa" w:w="598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电压崩溃时的最小减载（VCLS）</w:t>
            </w:r>
          </w:p>
        </w:tc>
      </w:tr>
      <w:tr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src/cases.py</w:t>
            </w:r>
          </w:p>
        </w:tc>
        <w:tc>
          <w:tcPr>
            <w:tcW w:type="dxa" w:w="598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算例注册表与输出路径（单一事实来源）</w:t>
            </w:r>
          </w:p>
        </w:tc>
      </w:tr>
      <w:tr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src/mc_v2.py</w:t>
            </w:r>
          </w:p>
        </w:tc>
        <w:tc>
          <w:tcPr>
            <w:tcW w:type="dxa" w:w="598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批量场景枚举、状态权重、</w:t>
            </w:r>
            <w:r>
              <w:rPr>
                <w:rFonts w:ascii="Times New Roman" w:hAnsi="Times New Roman" w:eastAsia="宋体"/>
                <w:i/>
                <w:sz w:val="18"/>
              </w:rPr>
              <w:t>P_b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i/>
                <w:sz w:val="18"/>
              </w:rPr>
              <w:t>R_b</w:t>
            </w:r>
            <w:r>
              <w:rPr>
                <w:rFonts w:ascii="Times New Roman" w:hAnsi="Times New Roman" w:eastAsia="宋体"/>
                <w:sz w:val="18"/>
              </w:rPr>
              <w:t xml:space="preserve"> / BFI 聚合</w:t>
            </w:r>
          </w:p>
        </w:tc>
      </w:tr>
      <w:tr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src/regime_summary.py</w:t>
            </w:r>
          </w:p>
        </w:tc>
        <w:tc>
          <w:tcPr>
            <w:tcW w:type="dxa" w:w="598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两区制汇总与判定图</w:t>
            </w:r>
          </w:p>
        </w:tc>
      </w:tr>
      <w:tr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src/causal.py</w:t>
            </w:r>
          </w:p>
        </w:tc>
        <w:tc>
          <w:tcPr>
            <w:tcW w:type="dxa" w:w="598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因果链归因与五图三表</w:t>
            </w:r>
          </w:p>
        </w:tc>
      </w:tr>
      <w:tr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results/IEEE30/P3_regime/</w:t>
            </w:r>
          </w:p>
        </w:tc>
        <w:tc>
          <w:tcPr>
            <w:tcW w:type="dxa" w:w="598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两区制表、排序一致性、每运行点 3 张图</w:t>
            </w:r>
          </w:p>
        </w:tc>
      </w:tr>
      <w:tr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results/IEEE30/P4_causal/</w:t>
            </w:r>
          </w:p>
        </w:tc>
        <w:tc>
          <w:tcPr>
            <w:tcW w:type="dxa" w:w="598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机理构成、传播速度、G×B 矩阵、泳道图等 6 张图 + 3 张表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rFonts w:ascii="Times New Roman" w:hAnsi="Times New Roman" w:eastAsia="宋体"/>
          <w:b/>
          <w:color w:val="1A1A1A"/>
          <w:sz w:val="30"/>
        </w:rPr>
        <w:t>3　结果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3.1　风险放大律：从 N-1 到 N-2、N-3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 xml:space="preserve">每个运行点 41 个场景，按同时退出机组数 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 xml:space="preserve"> 分组，得到母线失效指数 BFI 的期望值与尾部：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 xml:space="preserve">表 10　BFI 随退出机组数的跃变（对相应 </w:t>
      </w:r>
      <w:r>
        <w:rPr>
          <w:rFonts w:ascii="Times New Roman" w:hAnsi="Times New Roman" w:eastAsia="宋体"/>
          <w:b/>
          <w:i/>
          <w:sz w:val="18"/>
        </w:rPr>
        <w:t>k</w:t>
      </w:r>
      <w:r>
        <w:rPr>
          <w:rFonts w:ascii="Times New Roman" w:hAnsi="Times New Roman" w:eastAsia="宋体"/>
          <w:b/>
          <w:sz w:val="18"/>
        </w:rPr>
        <w:t xml:space="preserve"> 阶机组退出组合按状态概率加权；参数敏感性另见表 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857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运行点</w:t>
            </w:r>
          </w:p>
        </w:tc>
        <w:tc>
          <w:tcPr>
            <w:tcW w:type="dxa" w:w="111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BFI(</w:t>
            </w:r>
            <w:r>
              <w:rPr>
                <w:rFonts w:ascii="Times New Roman" w:hAnsi="Times New Roman" w:eastAsia="宋体"/>
                <w:b/>
                <w:i/>
                <w:sz w:val="18"/>
              </w:rPr>
              <w:t>k</w:t>
            </w:r>
            <w:r>
              <w:rPr>
                <w:rFonts w:ascii="Times New Roman" w:hAnsi="Times New Roman" w:eastAsia="宋体"/>
                <w:b/>
                <w:sz w:val="18"/>
              </w:rPr>
              <w:t>=1)</w:t>
            </w:r>
          </w:p>
        </w:tc>
        <w:tc>
          <w:tcPr>
            <w:tcW w:type="dxa" w:w="111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BFI(</w:t>
            </w:r>
            <w:r>
              <w:rPr>
                <w:rFonts w:ascii="Times New Roman" w:hAnsi="Times New Roman" w:eastAsia="宋体"/>
                <w:b/>
                <w:i/>
                <w:sz w:val="18"/>
              </w:rPr>
              <w:t>k</w:t>
            </w:r>
            <w:r>
              <w:rPr>
                <w:rFonts w:ascii="Times New Roman" w:hAnsi="Times New Roman" w:eastAsia="宋体"/>
                <w:b/>
                <w:sz w:val="18"/>
              </w:rPr>
              <w:t>=2)</w:t>
            </w:r>
          </w:p>
        </w:tc>
        <w:tc>
          <w:tcPr>
            <w:tcW w:type="dxa" w:w="111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BFI(</w:t>
            </w:r>
            <w:r>
              <w:rPr>
                <w:rFonts w:ascii="Times New Roman" w:hAnsi="Times New Roman" w:eastAsia="宋体"/>
                <w:b/>
                <w:i/>
                <w:sz w:val="18"/>
              </w:rPr>
              <w:t>k</w:t>
            </w:r>
            <w:r>
              <w:rPr>
                <w:rFonts w:ascii="Times New Roman" w:hAnsi="Times New Roman" w:eastAsia="宋体"/>
                <w:b/>
                <w:sz w:val="18"/>
              </w:rPr>
              <w:t>=3)</w:t>
            </w:r>
          </w:p>
        </w:tc>
        <w:tc>
          <w:tcPr>
            <w:tcW w:type="dxa" w:w="111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 xml:space="preserve">跃变比 </w:t>
            </w:r>
            <w:r>
              <w:rPr>
                <w:rFonts w:ascii="Times New Roman" w:hAnsi="Times New Roman" w:eastAsia="宋体"/>
                <w:b/>
                <w:i/>
                <w:sz w:val="18"/>
              </w:rPr>
              <w:t>k_2/k_1</w:t>
            </w:r>
          </w:p>
        </w:tc>
        <w:tc>
          <w:tcPr>
            <w:tcW w:type="dxa" w:w="1486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BFI(</w:t>
            </w:r>
            <w:r>
              <w:rPr>
                <w:rFonts w:ascii="Times New Roman" w:hAnsi="Times New Roman" w:eastAsia="宋体"/>
                <w:b/>
                <w:i/>
                <w:sz w:val="18"/>
              </w:rPr>
              <w:t>k</w:t>
            </w:r>
            <w:r>
              <w:rPr>
                <w:rFonts w:ascii="Times New Roman" w:hAnsi="Times New Roman" w:eastAsia="宋体"/>
                <w:b/>
                <w:sz w:val="18"/>
              </w:rPr>
              <w:t>=2) p95 / max</w:t>
            </w:r>
          </w:p>
        </w:tc>
        <w:tc>
          <w:tcPr>
            <w:tcW w:type="dxa" w:w="1610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 xml:space="preserve">失负荷率 </w:t>
            </w:r>
            <w:r>
              <w:rPr>
                <w:rFonts w:ascii="Times New Roman" w:hAnsi="Times New Roman" w:eastAsia="宋体"/>
                <w:b/>
                <w:i/>
                <w:sz w:val="18"/>
              </w:rPr>
              <w:t>k</w:t>
            </w:r>
            <w:r>
              <w:rPr>
                <w:rFonts w:ascii="Times New Roman" w:hAnsi="Times New Roman" w:eastAsia="宋体"/>
                <w:b/>
                <w:sz w:val="18"/>
              </w:rPr>
              <w:t xml:space="preserve">=1 → </w:t>
            </w:r>
            <w:r>
              <w:rPr>
                <w:rFonts w:ascii="Times New Roman" w:hAnsi="Times New Roman" w:eastAsia="宋体"/>
                <w:b/>
                <w:i/>
                <w:sz w:val="18"/>
              </w:rPr>
              <w:t>k</w:t>
            </w:r>
            <w:r>
              <w:rPr>
                <w:rFonts w:ascii="Times New Roman" w:hAnsi="Times New Roman" w:eastAsia="宋体"/>
                <w:b/>
                <w:sz w:val="18"/>
              </w:rPr>
              <w:t>=3</w:t>
            </w:r>
          </w:p>
        </w:tc>
      </w:tr>
      <w:tr>
        <w:tc>
          <w:tcPr>
            <w:tcW w:type="dxa" w:w="185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λ=1.00</w:t>
            </w:r>
            <w:r>
              <w:rPr>
                <w:rFonts w:ascii="Times New Roman" w:hAnsi="Times New Roman" w:eastAsia="宋体"/>
                <w:sz w:val="18"/>
              </w:rPr>
              <w:t>（Regime I）</w:t>
            </w:r>
          </w:p>
        </w:tc>
        <w:tc>
          <w:tcPr>
            <w:tcW w:type="dxa" w:w="111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0.0778</w:t>
            </w:r>
          </w:p>
        </w:tc>
        <w:tc>
          <w:tcPr>
            <w:tcW w:type="dxa" w:w="111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0.4467</w:t>
            </w:r>
          </w:p>
        </w:tc>
        <w:tc>
          <w:tcPr>
            <w:tcW w:type="dxa" w:w="111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0.7967</w:t>
            </w:r>
          </w:p>
        </w:tc>
        <w:tc>
          <w:tcPr>
            <w:tcW w:type="dxa" w:w="111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5.74×</w:t>
            </w:r>
          </w:p>
        </w:tc>
        <w:tc>
          <w:tcPr>
            <w:tcW w:type="dxa" w:w="148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1.000 / 1.000</w:t>
            </w:r>
          </w:p>
        </w:tc>
        <w:tc>
          <w:tcPr>
            <w:tcW w:type="dxa" w:w="1610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3.6% → 61.3%</w:t>
            </w:r>
          </w:p>
        </w:tc>
      </w:tr>
      <w:tr>
        <w:tc>
          <w:tcPr>
            <w:tcW w:type="dxa" w:w="185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λ=1.40</w:t>
            </w:r>
            <w:r>
              <w:rPr>
                <w:rFonts w:ascii="Times New Roman" w:hAnsi="Times New Roman" w:eastAsia="宋体"/>
                <w:sz w:val="18"/>
              </w:rPr>
              <w:t>（Regime II）</w:t>
            </w:r>
          </w:p>
        </w:tc>
        <w:tc>
          <w:tcPr>
            <w:tcW w:type="dxa" w:w="111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0.2167</w:t>
            </w:r>
          </w:p>
        </w:tc>
        <w:tc>
          <w:tcPr>
            <w:tcW w:type="dxa" w:w="111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0.5511</w:t>
            </w:r>
          </w:p>
        </w:tc>
        <w:tc>
          <w:tcPr>
            <w:tcW w:type="dxa" w:w="111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0.8100</w:t>
            </w:r>
          </w:p>
        </w:tc>
        <w:tc>
          <w:tcPr>
            <w:tcW w:type="dxa" w:w="111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2.54×</w:t>
            </w:r>
          </w:p>
        </w:tc>
        <w:tc>
          <w:tcPr>
            <w:tcW w:type="dxa" w:w="148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0.837 / 1.000</w:t>
            </w:r>
          </w:p>
        </w:tc>
        <w:tc>
          <w:tcPr>
            <w:tcW w:type="dxa" w:w="1610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3.7% → 67.7%</w:t>
            </w:r>
          </w:p>
        </w:tc>
      </w:tr>
    </w:tbl>
    <w:p>
      <w:pPr>
        <w:spacing w:after="40"/>
      </w:pP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91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g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9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color w:val="5C5C5C"/>
          <w:sz w:val="17"/>
        </w:rPr>
        <w:t>图 1　两区制与风险放大：横轴为 N-1 下的 BFI，纵轴为 N-2 下的 BFI；虚线为“无放大”参考线。两个运行点都远在虚线上方，说明失效在组合退出下被强烈放大。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解读三条：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放大倍数 5.74×</w:t>
      </w:r>
      <w:r>
        <w:rPr>
          <w:rFonts w:ascii="Times New Roman" w:hAnsi="Times New Roman" w:eastAsia="宋体"/>
          <w:sz w:val="21"/>
        </w:rPr>
        <w:t>：单机退出平均致 2.3 条母线失效，双机退出跳到 13.4 条（</w:t>
      </w:r>
      <w:r>
        <w:rPr>
          <w:rFonts w:ascii="Times New Roman" w:hAnsi="Times New Roman" w:eastAsia="宋体"/>
          <w:i/>
          <w:sz w:val="21"/>
        </w:rPr>
        <w:t>0.0778×30</w:t>
      </w:r>
      <w:r>
        <w:rPr>
          <w:rFonts w:ascii="Times New Roman" w:hAnsi="Times New Roman" w:eastAsia="宋体"/>
          <w:sz w:val="21"/>
        </w:rPr>
        <w:t xml:space="preserve"> → </w:t>
      </w:r>
      <w:r>
        <w:rPr>
          <w:rFonts w:ascii="Times New Roman" w:hAnsi="Times New Roman" w:eastAsia="宋体"/>
          <w:i/>
          <w:sz w:val="21"/>
        </w:rPr>
        <w:t>0.4467×30</w:t>
      </w:r>
      <w:r>
        <w:rPr>
          <w:rFonts w:ascii="Times New Roman" w:hAnsi="Times New Roman" w:eastAsia="宋体"/>
          <w:sz w:val="21"/>
        </w:rPr>
        <w:t>）。起点已有 7.8% 失效，因此该倍数是在“非零起点”上取得的，不依赖任何人造补量。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$k$=3 已接近饱和</w:t>
      </w:r>
      <w:r>
        <w:rPr>
          <w:rFonts w:ascii="Times New Roman" w:hAnsi="Times New Roman" w:eastAsia="宋体"/>
          <w:sz w:val="21"/>
        </w:rPr>
        <w:t xml:space="preserve">：0.80 以上意味着 41 个场景中大量场景把 24 条以上母线推向失效，已无区分度，故指标分析以 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>=1、2 为主。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区制判据改用 BFI($k$=1)</w:t>
      </w:r>
      <w:r>
        <w:rPr>
          <w:rFonts w:ascii="Times New Roman" w:hAnsi="Times New Roman" w:eastAsia="宋体"/>
          <w:sz w:val="21"/>
        </w:rPr>
        <w:t xml:space="preserve">：原设想的“失负荷率 &lt;5% / &gt;25%”判据在 IEEE 30 上失效——两个运行点 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>=1 的失负荷率分别为 3.6% 与 3.7%，几乎相同；原因是备用充足（75.8%），N-1 的有功缺额可被完全再调度，失负荷只来自电压型减载。故用 BFI(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>=1)=0.078（&lt;0.10）vs 0.217（&gt;0.10）区分区制。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2414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fi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color w:val="5C5C5C"/>
          <w:sz w:val="17"/>
        </w:rPr>
        <w:t xml:space="preserve">图 2　</w:t>
      </w:r>
      <w:r>
        <w:rPr>
          <w:rFonts w:ascii="Times New Roman" w:hAnsi="Times New Roman" w:eastAsia="宋体"/>
          <w:i/>
          <w:color w:val="5C5C5C"/>
          <w:sz w:val="17"/>
        </w:rPr>
        <w:t>λ=1.00</w:t>
      </w:r>
      <w:r>
        <w:rPr>
          <w:rFonts w:ascii="Times New Roman" w:hAnsi="Times New Roman" w:eastAsia="宋体"/>
          <w:color w:val="5C5C5C"/>
          <w:sz w:val="17"/>
        </w:rPr>
        <w:t xml:space="preserve"> 的级联规模分布：</w:t>
      </w:r>
      <w:r>
        <w:rPr>
          <w:rFonts w:ascii="Times New Roman" w:hAnsi="Times New Roman" w:eastAsia="宋体"/>
          <w:i/>
          <w:color w:val="5C5C5C"/>
          <w:sz w:val="17"/>
        </w:rPr>
        <w:t>k</w:t>
      </w:r>
      <w:r>
        <w:rPr>
          <w:rFonts w:ascii="Times New Roman" w:hAnsi="Times New Roman" w:eastAsia="宋体"/>
          <w:color w:val="5C5C5C"/>
          <w:sz w:val="17"/>
        </w:rPr>
        <w:t xml:space="preserve">=1 大量集中在 BFI≈0–0.2，而 </w:t>
      </w:r>
      <w:r>
        <w:rPr>
          <w:rFonts w:ascii="Times New Roman" w:hAnsi="Times New Roman" w:eastAsia="宋体"/>
          <w:i/>
          <w:color w:val="5C5C5C"/>
          <w:sz w:val="17"/>
        </w:rPr>
        <w:t>k</w:t>
      </w:r>
      <w:r>
        <w:rPr>
          <w:rFonts w:ascii="Times New Roman" w:hAnsi="Times New Roman" w:eastAsia="宋体"/>
          <w:color w:val="5C5C5C"/>
          <w:sz w:val="17"/>
        </w:rPr>
        <w:t>=3 在 BFI≈1.0 处出现尖峰（全网失效），呈明显的双峰型。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2414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fi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color w:val="5C5C5C"/>
          <w:sz w:val="17"/>
        </w:rPr>
        <w:t xml:space="preserve">图 3　</w:t>
      </w:r>
      <w:r>
        <w:rPr>
          <w:rFonts w:ascii="Times New Roman" w:hAnsi="Times New Roman" w:eastAsia="宋体"/>
          <w:i/>
          <w:color w:val="5C5C5C"/>
          <w:sz w:val="17"/>
        </w:rPr>
        <w:t>λ=1.40</w:t>
      </w:r>
      <w:r>
        <w:rPr>
          <w:rFonts w:ascii="Times New Roman" w:hAnsi="Times New Roman" w:eastAsia="宋体"/>
          <w:color w:val="5C5C5C"/>
          <w:sz w:val="17"/>
        </w:rPr>
        <w:t xml:space="preserve"> 的级联规模分布：分布整体右移，</w:t>
      </w:r>
      <w:r>
        <w:rPr>
          <w:rFonts w:ascii="Times New Roman" w:hAnsi="Times New Roman" w:eastAsia="宋体"/>
          <w:i/>
          <w:color w:val="5C5C5C"/>
          <w:sz w:val="17"/>
        </w:rPr>
        <w:t>k</w:t>
      </w:r>
      <w:r>
        <w:rPr>
          <w:rFonts w:ascii="Times New Roman" w:hAnsi="Times New Roman" w:eastAsia="宋体"/>
          <w:color w:val="5C5C5C"/>
          <w:sz w:val="17"/>
        </w:rPr>
        <w:t>=1 已出现 0.4–0.5 的档位，说明高风险区制的 N-1 本身就可触发较大级联。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3.2　母线级失效概率与条件概率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95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fail_by_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color w:val="5C5C5C"/>
          <w:sz w:val="17"/>
        </w:rPr>
        <w:t xml:space="preserve">图 4　</w:t>
      </w:r>
      <w:r>
        <w:rPr>
          <w:rFonts w:ascii="Times New Roman" w:hAnsi="Times New Roman" w:eastAsia="宋体"/>
          <w:i/>
          <w:color w:val="5C5C5C"/>
          <w:sz w:val="17"/>
        </w:rPr>
        <w:t>λ=1.00</w:t>
      </w:r>
      <w:r>
        <w:rPr>
          <w:rFonts w:ascii="Times New Roman" w:hAnsi="Times New Roman" w:eastAsia="宋体"/>
          <w:color w:val="5C5C5C"/>
          <w:sz w:val="17"/>
        </w:rPr>
        <w:t xml:space="preserve"> 各母线的条件失效概率（按 </w:t>
      </w:r>
      <w:r>
        <w:rPr>
          <w:rFonts w:ascii="Times New Roman" w:hAnsi="Times New Roman" w:eastAsia="宋体"/>
          <w:i/>
          <w:color w:val="5C5C5C"/>
          <w:sz w:val="17"/>
        </w:rPr>
        <w:t>k</w:t>
      </w:r>
      <w:r>
        <w:rPr>
          <w:rFonts w:ascii="Times New Roman" w:hAnsi="Times New Roman" w:eastAsia="宋体"/>
          <w:color w:val="5C5C5C"/>
          <w:sz w:val="17"/>
        </w:rPr>
        <w:t xml:space="preserve"> 分组）：30 条母线全部随 </w:t>
      </w:r>
      <w:r>
        <w:rPr>
          <w:rFonts w:ascii="Times New Roman" w:hAnsi="Times New Roman" w:eastAsia="宋体"/>
          <w:i/>
          <w:color w:val="5C5C5C"/>
          <w:sz w:val="17"/>
        </w:rPr>
        <w:t>k</w:t>
      </w:r>
      <w:r>
        <w:rPr>
          <w:rFonts w:ascii="Times New Roman" w:hAnsi="Times New Roman" w:eastAsia="宋体"/>
          <w:color w:val="5C5C5C"/>
          <w:sz w:val="17"/>
        </w:rPr>
        <w:t xml:space="preserve"> 单调抬升，</w:t>
      </w:r>
      <w:r>
        <w:rPr>
          <w:rFonts w:ascii="Times New Roman" w:hAnsi="Times New Roman" w:eastAsia="宋体"/>
          <w:i/>
          <w:color w:val="5C5C5C"/>
          <w:sz w:val="17"/>
        </w:rPr>
        <w:t>k</w:t>
      </w:r>
      <w:r>
        <w:rPr>
          <w:rFonts w:ascii="Times New Roman" w:hAnsi="Times New Roman" w:eastAsia="宋体"/>
          <w:color w:val="5C5C5C"/>
          <w:sz w:val="17"/>
        </w:rPr>
        <w:t>=3 时多数母线条件失效概率超过 0.8。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953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fail_by_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color w:val="5C5C5C"/>
          <w:sz w:val="17"/>
        </w:rPr>
        <w:t xml:space="preserve">图 5　</w:t>
      </w:r>
      <w:r>
        <w:rPr>
          <w:rFonts w:ascii="Times New Roman" w:hAnsi="Times New Roman" w:eastAsia="宋体"/>
          <w:i/>
          <w:color w:val="5C5C5C"/>
          <w:sz w:val="17"/>
        </w:rPr>
        <w:t>λ=1.40</w:t>
      </w:r>
      <w:r>
        <w:rPr>
          <w:rFonts w:ascii="Times New Roman" w:hAnsi="Times New Roman" w:eastAsia="宋体"/>
          <w:color w:val="5C5C5C"/>
          <w:sz w:val="17"/>
        </w:rPr>
        <w:t xml:space="preserve"> 各母线的条件失效概率：整体抬高，</w:t>
      </w:r>
      <w:r>
        <w:rPr>
          <w:rFonts w:ascii="Times New Roman" w:hAnsi="Times New Roman" w:eastAsia="宋体"/>
          <w:i/>
          <w:color w:val="5C5C5C"/>
          <w:sz w:val="17"/>
        </w:rPr>
        <w:t>k</w:t>
      </w:r>
      <w:r>
        <w:rPr>
          <w:rFonts w:ascii="Times New Roman" w:hAnsi="Times New Roman" w:eastAsia="宋体"/>
          <w:color w:val="5C5C5C"/>
          <w:sz w:val="17"/>
        </w:rPr>
        <w:t>=3 时几乎全域饱和（≥0.95），说明高负荷下“任一组三机退出”基本等价于全网失效。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两个运行点的关键母线（按 5 组参数集下的平均排名）对照：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11　关键母线 Top-5（平均排名，括号内为 5 组参数集下的排名区间）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856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排名</w:t>
            </w:r>
          </w:p>
        </w:tc>
        <w:tc>
          <w:tcPr>
            <w:tcW w:type="dxa" w:w="2852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/>
                <w:sz w:val="18"/>
              </w:rPr>
              <w:t>λ=1.00</w:t>
            </w:r>
          </w:p>
        </w:tc>
        <w:tc>
          <w:tcPr>
            <w:tcW w:type="dxa" w:w="2852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/>
                <w:sz w:val="18"/>
              </w:rPr>
              <w:t>λ=1.40</w:t>
            </w:r>
          </w:p>
        </w:tc>
        <w:tc>
          <w:tcPr>
            <w:tcW w:type="dxa" w:w="2852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85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285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B19（1.2，区间 1–2）</w:t>
            </w:r>
          </w:p>
        </w:tc>
        <w:tc>
          <w:tcPr>
            <w:tcW w:type="dxa" w:w="285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B8（1.0，区间 1–1）</w:t>
            </w:r>
          </w:p>
        </w:tc>
        <w:tc>
          <w:tcPr>
            <w:tcW w:type="dxa" w:w="285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两运行点</w:t>
            </w:r>
            <w:r>
              <w:rPr>
                <w:rFonts w:ascii="Times New Roman" w:hAnsi="Times New Roman" w:eastAsia="宋体"/>
                <w:b/>
                <w:sz w:val="18"/>
              </w:rPr>
              <w:t>不同</w:t>
            </w:r>
            <w:r>
              <w:rPr>
                <w:rFonts w:ascii="Times New Roman" w:hAnsi="Times New Roman" w:eastAsia="宋体"/>
                <w:sz w:val="18"/>
              </w:rPr>
              <w:t>的第一名</w:t>
            </w:r>
          </w:p>
        </w:tc>
      </w:tr>
      <w:tr>
        <w:tc>
          <w:tcPr>
            <w:tcW w:type="dxa" w:w="85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285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B20（2.8，2–3）</w:t>
            </w:r>
          </w:p>
        </w:tc>
        <w:tc>
          <w:tcPr>
            <w:tcW w:type="dxa" w:w="285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B26（2.0，2–2）</w:t>
            </w:r>
          </w:p>
        </w:tc>
        <w:tc>
          <w:tcPr>
            <w:tcW w:type="dxa" w:w="2852"/>
          </w:tcPr>
          <w:p>
            <w:pPr>
              <w:spacing w:after="20" w:line="276" w:lineRule="auto"/>
            </w:pPr>
          </w:p>
        </w:tc>
      </w:tr>
      <w:tr>
        <w:tc>
          <w:tcPr>
            <w:tcW w:type="dxa" w:w="85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285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B21（3.0，2–5）</w:t>
            </w:r>
          </w:p>
        </w:tc>
        <w:tc>
          <w:tcPr>
            <w:tcW w:type="dxa" w:w="285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B30（3.0，3–3）</w:t>
            </w:r>
          </w:p>
        </w:tc>
        <w:tc>
          <w:tcPr>
            <w:tcW w:type="dxa" w:w="285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B30 在两个运行点均居前列</w:t>
            </w:r>
          </w:p>
        </w:tc>
      </w:tr>
      <w:tr>
        <w:tc>
          <w:tcPr>
            <w:tcW w:type="dxa" w:w="85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285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B30（3.4，1–5）</w:t>
            </w:r>
          </w:p>
        </w:tc>
        <w:tc>
          <w:tcPr>
            <w:tcW w:type="dxa" w:w="285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B19（4.2，4–5）</w:t>
            </w:r>
          </w:p>
        </w:tc>
        <w:tc>
          <w:tcPr>
            <w:tcW w:type="dxa" w:w="285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B19 在两个运行点均居前列</w:t>
            </w:r>
          </w:p>
        </w:tc>
      </w:tr>
      <w:tr>
        <w:tc>
          <w:tcPr>
            <w:tcW w:type="dxa" w:w="85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285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B17（4.8，4–6）</w:t>
            </w:r>
          </w:p>
        </w:tc>
        <w:tc>
          <w:tcPr>
            <w:tcW w:type="dxa" w:w="285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B29（5.2，5–6）</w:t>
            </w:r>
          </w:p>
        </w:tc>
        <w:tc>
          <w:tcPr>
            <w:tcW w:type="dxa" w:w="2852"/>
          </w:tcPr>
          <w:p>
            <w:pPr>
              <w:spacing w:after="20" w:line="276" w:lineRule="auto"/>
            </w:pPr>
          </w:p>
        </w:tc>
      </w:tr>
    </w:tbl>
    <w:p>
      <w:pPr>
        <w:spacing w:after="40"/>
      </w:pP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 xml:space="preserve">两个运行点的 Top-5 只有 </w:t>
      </w:r>
      <w:r>
        <w:rPr>
          <w:rFonts w:ascii="Times New Roman" w:hAnsi="Times New Roman" w:eastAsia="宋体"/>
          <w:b/>
          <w:sz w:val="21"/>
        </w:rPr>
        <w:t>B19 与 B30</w:t>
      </w:r>
      <w:r>
        <w:rPr>
          <w:rFonts w:ascii="Times New Roman" w:hAnsi="Times New Roman" w:eastAsia="宋体"/>
          <w:sz w:val="21"/>
        </w:rPr>
        <w:t xml:space="preserve"> 共有，第一名从 B19 变成 B8，说明“最关键母线”是</w:t>
      </w:r>
      <w:r>
        <w:rPr>
          <w:rFonts w:ascii="Times New Roman" w:hAnsi="Times New Roman" w:eastAsia="宋体"/>
          <w:b/>
          <w:sz w:val="21"/>
        </w:rPr>
        <w:t>运行点依赖</w:t>
      </w:r>
      <w:r>
        <w:rPr>
          <w:rFonts w:ascii="Times New Roman" w:hAnsi="Times New Roman" w:eastAsia="宋体"/>
          <w:sz w:val="21"/>
        </w:rPr>
        <w:t>的，单一断面下的清单不能跨负荷水平直接套用。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3.3　期望风险与参数敏感性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risk_b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color w:val="5C5C5C"/>
          <w:sz w:val="17"/>
        </w:rPr>
        <w:t xml:space="preserve">图 6　</w:t>
      </w:r>
      <w:r>
        <w:rPr>
          <w:rFonts w:ascii="Times New Roman" w:hAnsi="Times New Roman" w:eastAsia="宋体"/>
          <w:i/>
          <w:color w:val="5C5C5C"/>
          <w:sz w:val="17"/>
        </w:rPr>
        <w:t>λ=1.00</w:t>
      </w:r>
      <w:r>
        <w:rPr>
          <w:rFonts w:ascii="Times New Roman" w:hAnsi="Times New Roman" w:eastAsia="宋体"/>
          <w:color w:val="5C5C5C"/>
          <w:sz w:val="17"/>
        </w:rPr>
        <w:t xml:space="preserve"> 的母线期望风险 </w:t>
      </w:r>
      <w:r>
        <w:rPr>
          <w:rFonts w:ascii="Times New Roman" w:hAnsi="Times New Roman" w:eastAsia="宋体"/>
          <w:i/>
          <w:color w:val="5C5C5C"/>
          <w:sz w:val="17"/>
        </w:rPr>
        <w:t>R_b</w:t>
      </w:r>
      <w:r>
        <w:rPr>
          <w:rFonts w:ascii="Times New Roman" w:hAnsi="Times New Roman" w:eastAsia="宋体"/>
          <w:color w:val="5C5C5C"/>
          <w:sz w:val="17"/>
        </w:rPr>
        <w:t>（×100）：柱高为 5 组参数集下的最小值，灰色带为最大值，带越宽说明该母线的风险越依赖参数取值。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risk_ba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color w:val="5C5C5C"/>
          <w:sz w:val="17"/>
        </w:rPr>
        <w:t xml:space="preserve">图 7　</w:t>
      </w:r>
      <w:r>
        <w:rPr>
          <w:rFonts w:ascii="Times New Roman" w:hAnsi="Times New Roman" w:eastAsia="宋体"/>
          <w:i/>
          <w:color w:val="5C5C5C"/>
          <w:sz w:val="17"/>
        </w:rPr>
        <w:t>λ=1.40</w:t>
      </w:r>
      <w:r>
        <w:rPr>
          <w:rFonts w:ascii="Times New Roman" w:hAnsi="Times New Roman" w:eastAsia="宋体"/>
          <w:color w:val="5C5C5C"/>
          <w:sz w:val="17"/>
        </w:rPr>
        <w:t xml:space="preserve"> 的母线期望风险：整体量级抬高（B8 最高），且参数带相对更窄，说明高负荷下风险由物理决定、对参数假设更不敏感。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12　参数敏感性：5 组参数集下的 BFI（</w:t>
      </w:r>
      <w:r>
        <w:rPr>
          <w:rFonts w:ascii="Times New Roman" w:hAnsi="Times New Roman" w:eastAsia="宋体"/>
          <w:b/>
          <w:i/>
          <w:sz w:val="18"/>
        </w:rPr>
        <w:t>k</w:t>
      </w:r>
      <w:r>
        <w:rPr>
          <w:rFonts w:ascii="Times New Roman" w:hAnsi="Times New Roman" w:eastAsia="宋体"/>
          <w:b/>
          <w:sz w:val="18"/>
        </w:rPr>
        <w:t>=1 / 2 / 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23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参数集</w:t>
            </w:r>
          </w:p>
        </w:tc>
        <w:tc>
          <w:tcPr>
            <w:tcW w:type="dxa" w:w="3446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2121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/>
                <w:sz w:val="18"/>
              </w:rPr>
              <w:t>λ=1.00</w:t>
            </w:r>
          </w:p>
        </w:tc>
        <w:tc>
          <w:tcPr>
            <w:tcW w:type="dxa" w:w="2121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/>
                <w:sz w:val="18"/>
              </w:rPr>
              <w:t>λ=1.40</w:t>
            </w:r>
          </w:p>
        </w:tc>
      </w:tr>
      <w:tr>
        <w:tc>
          <w:tcPr>
            <w:tcW w:type="dxa" w:w="17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P1_base</w:t>
            </w:r>
          </w:p>
        </w:tc>
        <w:tc>
          <w:tcPr>
            <w:tcW w:type="dxa" w:w="344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基准（</w:t>
            </w:r>
            <w:r>
              <w:rPr>
                <w:rFonts w:ascii="Times New Roman" w:hAnsi="Times New Roman" w:eastAsia="宋体"/>
                <w:i/>
                <w:sz w:val="18"/>
              </w:rPr>
              <w:t>κ</w:t>
            </w:r>
            <w:r>
              <w:rPr>
                <w:rFonts w:ascii="Times New Roman" w:hAnsi="Times New Roman" w:eastAsia="宋体"/>
                <w:sz w:val="18"/>
              </w:rPr>
              <w:t>=0.90，</w:t>
            </w:r>
            <w:r>
              <w:rPr>
                <w:rFonts w:ascii="Times New Roman" w:hAnsi="Times New Roman" w:eastAsia="宋体"/>
                <w:i/>
                <w:sz w:val="18"/>
              </w:rPr>
              <w:t>λ_trip</w:t>
            </w:r>
            <w:r>
              <w:rPr>
                <w:rFonts w:ascii="Times New Roman" w:hAnsi="Times New Roman" w:eastAsia="宋体"/>
                <w:sz w:val="18"/>
              </w:rPr>
              <w:t>=1.25，</w:t>
            </w:r>
            <w:r>
              <w:rPr>
                <w:rFonts w:ascii="Times New Roman" w:hAnsi="Times New Roman" w:eastAsia="宋体"/>
                <w:i/>
                <w:sz w:val="18"/>
              </w:rPr>
              <w:t>H</w:t>
            </w:r>
            <w:r>
              <w:rPr>
                <w:rFonts w:ascii="Times New Roman" w:hAnsi="Times New Roman" w:eastAsia="宋体"/>
                <w:sz w:val="18"/>
              </w:rPr>
              <w:t>=5.0 s，UVLS 2 轮）</w:t>
            </w:r>
          </w:p>
        </w:tc>
        <w:tc>
          <w:tcPr>
            <w:tcW w:type="dxa" w:w="212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0.078 / 0.447 / 0.797</w:t>
            </w:r>
          </w:p>
        </w:tc>
        <w:tc>
          <w:tcPr>
            <w:tcW w:type="dxa" w:w="212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0.217 / 0.551 / 0.810</w:t>
            </w:r>
          </w:p>
        </w:tc>
      </w:tr>
      <w:tr>
        <w:tc>
          <w:tcPr>
            <w:tcW w:type="dxa" w:w="17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P2_weakres</w:t>
            </w:r>
          </w:p>
        </w:tc>
        <w:tc>
          <w:tcPr>
            <w:tcW w:type="dxa" w:w="344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弱备用（</w:t>
            </w:r>
            <w:r>
              <w:rPr>
                <w:rFonts w:ascii="Times New Roman" w:hAnsi="Times New Roman" w:eastAsia="宋体"/>
                <w:i/>
                <w:sz w:val="18"/>
              </w:rPr>
              <w:t>κ</w:t>
            </w:r>
            <w:r>
              <w:rPr>
                <w:rFonts w:ascii="Times New Roman" w:hAnsi="Times New Roman" w:eastAsia="宋体"/>
                <w:sz w:val="18"/>
              </w:rPr>
              <w:t>=0.70）</w:t>
            </w:r>
          </w:p>
        </w:tc>
        <w:tc>
          <w:tcPr>
            <w:tcW w:type="dxa" w:w="212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0.078 / 0.442 / 0.798</w:t>
            </w:r>
          </w:p>
        </w:tc>
        <w:tc>
          <w:tcPr>
            <w:tcW w:type="dxa" w:w="212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0.217 / 0.553 / 0.817</w:t>
            </w:r>
          </w:p>
        </w:tc>
      </w:tr>
      <w:tr>
        <w:tc>
          <w:tcPr>
            <w:tcW w:type="dxa" w:w="17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P3_strict</w:t>
            </w:r>
          </w:p>
        </w:tc>
        <w:tc>
          <w:tcPr>
            <w:tcW w:type="dxa" w:w="344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严格过载（</w:t>
            </w:r>
            <w:r>
              <w:rPr>
                <w:rFonts w:ascii="Times New Roman" w:hAnsi="Times New Roman" w:eastAsia="宋体"/>
                <w:i/>
                <w:sz w:val="18"/>
              </w:rPr>
              <w:t>λ_trip</w:t>
            </w:r>
            <w:r>
              <w:rPr>
                <w:rFonts w:ascii="Times New Roman" w:hAnsi="Times New Roman" w:eastAsia="宋体"/>
                <w:sz w:val="18"/>
              </w:rPr>
              <w:t>=1.15）</w:t>
            </w:r>
          </w:p>
        </w:tc>
        <w:tc>
          <w:tcPr>
            <w:tcW w:type="dxa" w:w="212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0.078 / 0.449 / 0.805</w:t>
            </w:r>
          </w:p>
        </w:tc>
        <w:tc>
          <w:tcPr>
            <w:tcW w:type="dxa" w:w="212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0.244 / 0.573 / 0.810</w:t>
            </w:r>
          </w:p>
        </w:tc>
      </w:tr>
      <w:tr>
        <w:tc>
          <w:tcPr>
            <w:tcW w:type="dxa" w:w="17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P4_lowinertia</w:t>
            </w:r>
          </w:p>
        </w:tc>
        <w:tc>
          <w:tcPr>
            <w:tcW w:type="dxa" w:w="344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低惯量（$H$=3.0 s）</w:t>
            </w:r>
          </w:p>
        </w:tc>
        <w:tc>
          <w:tcPr>
            <w:tcW w:type="dxa" w:w="212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0.078 / </w:t>
            </w:r>
            <w:r>
              <w:rPr>
                <w:rFonts w:ascii="Times New Roman" w:hAnsi="Times New Roman" w:eastAsia="宋体"/>
                <w:b/>
                <w:sz w:val="18"/>
              </w:rPr>
              <w:t>0.551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b/>
                <w:sz w:val="18"/>
              </w:rPr>
              <w:t>0.887</w:t>
            </w:r>
          </w:p>
        </w:tc>
        <w:tc>
          <w:tcPr>
            <w:tcW w:type="dxa" w:w="212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0.217 / </w:t>
            </w:r>
            <w:r>
              <w:rPr>
                <w:rFonts w:ascii="Times New Roman" w:hAnsi="Times New Roman" w:eastAsia="宋体"/>
                <w:b/>
                <w:sz w:val="18"/>
              </w:rPr>
              <w:t>0.633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b/>
                <w:sz w:val="18"/>
              </w:rPr>
              <w:t>0.858</w:t>
            </w:r>
          </w:p>
        </w:tc>
      </w:tr>
      <w:tr>
        <w:tc>
          <w:tcPr>
            <w:tcW w:type="dxa" w:w="17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P5_uvls1</w:t>
            </w:r>
          </w:p>
        </w:tc>
        <w:tc>
          <w:tcPr>
            <w:tcW w:type="dxa" w:w="344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UVLS 仅 1 轮</w:t>
            </w:r>
          </w:p>
        </w:tc>
        <w:tc>
          <w:tcPr>
            <w:tcW w:type="dxa" w:w="212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0.078 / 0.449 / 0.798</w:t>
            </w:r>
          </w:p>
        </w:tc>
        <w:tc>
          <w:tcPr>
            <w:tcW w:type="dxa" w:w="212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0.217 / 0.553 / 0.810</w:t>
            </w:r>
          </w:p>
        </w:tc>
      </w:tr>
    </w:tbl>
    <w:p>
      <w:pPr>
        <w:spacing w:after="40"/>
      </w:pP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两条结论：</w:t>
      </w:r>
      <w:r>
        <w:rPr>
          <w:rFonts w:ascii="Times New Roman" w:hAnsi="Times New Roman" w:eastAsia="宋体"/>
          <w:b/>
          <w:sz w:val="21"/>
        </w:rPr>
        <w:t>(1)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>=1 的 BFI 在 5 组参数下几乎完全相同（0.078；</w:t>
      </w:r>
      <w:r>
        <w:rPr>
          <w:rFonts w:ascii="Times New Roman" w:hAnsi="Times New Roman" w:eastAsia="宋体"/>
          <w:i/>
          <w:sz w:val="21"/>
        </w:rPr>
        <w:t>λ=1.40</w:t>
      </w:r>
      <w:r>
        <w:rPr>
          <w:rFonts w:ascii="Times New Roman" w:hAnsi="Times New Roman" w:eastAsia="宋体"/>
          <w:sz w:val="21"/>
        </w:rPr>
        <w:t xml:space="preserve"> 仅严格过载一组升到 0.244），说明 N-1 结论对参数假设稳健；</w:t>
      </w:r>
      <w:r>
        <w:rPr>
          <w:rFonts w:ascii="Times New Roman" w:hAnsi="Times New Roman" w:eastAsia="宋体"/>
          <w:b/>
          <w:sz w:val="21"/>
        </w:rPr>
        <w:t>(2)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i/>
          <w:sz w:val="21"/>
        </w:rPr>
        <w:t>k≥2</w:t>
      </w:r>
      <w:r>
        <w:rPr>
          <w:rFonts w:ascii="Times New Roman" w:hAnsi="Times New Roman" w:eastAsia="宋体"/>
          <w:sz w:val="21"/>
        </w:rPr>
        <w:t xml:space="preserve"> 时惯量成为主导因素——</w:t>
      </w:r>
      <w:r>
        <w:rPr>
          <w:rFonts w:ascii="Times New Roman" w:hAnsi="Times New Roman" w:eastAsia="宋体"/>
          <w:i/>
          <w:sz w:val="21"/>
        </w:rPr>
        <w:t>H</w:t>
      </w:r>
      <w:r>
        <w:rPr>
          <w:rFonts w:ascii="Times New Roman" w:hAnsi="Times New Roman" w:eastAsia="宋体"/>
          <w:sz w:val="21"/>
        </w:rPr>
        <w:t xml:space="preserve"> 从 5.0 s 降到 3.0 s，</w:t>
      </w:r>
      <w:r>
        <w:rPr>
          <w:rFonts w:ascii="Times New Roman" w:hAnsi="Times New Roman" w:eastAsia="宋体"/>
          <w:i/>
          <w:sz w:val="21"/>
        </w:rPr>
        <w:t>λ=1.00</w:t>
      </w:r>
      <w:r>
        <w:rPr>
          <w:rFonts w:ascii="Times New Roman" w:hAnsi="Times New Roman" w:eastAsia="宋体"/>
          <w:sz w:val="21"/>
        </w:rPr>
        <w:t xml:space="preserve"> 的 BFI(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>=2) 从 0.447 抬到 0.551（</w:t>
      </w:r>
      <w:r>
        <w:rPr>
          <w:rFonts w:ascii="Times New Roman" w:hAnsi="Times New Roman" w:eastAsia="宋体"/>
          <w:b/>
          <w:sz w:val="21"/>
        </w:rPr>
        <w:t>+23%</w:t>
      </w:r>
      <w:r>
        <w:rPr>
          <w:rFonts w:ascii="Times New Roman" w:hAnsi="Times New Roman" w:eastAsia="宋体"/>
          <w:sz w:val="21"/>
        </w:rPr>
        <w:t>），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>=3 从 0.797 抬到 0.887。工程含义是：</w:t>
      </w:r>
      <w:r>
        <w:rPr>
          <w:rFonts w:ascii="Times New Roman" w:hAnsi="Times New Roman" w:eastAsia="宋体"/>
          <w:b/>
          <w:sz w:val="21"/>
        </w:rPr>
        <w:t>低惯量系统里，双机退出就足以触发全网级联</w:t>
      </w:r>
      <w:r>
        <w:rPr>
          <w:rFonts w:ascii="Times New Roman" w:hAnsi="Times New Roman" w:eastAsia="宋体"/>
          <w:sz w:val="21"/>
        </w:rPr>
        <w:t>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3.4　排序稳定性：N-1 能不能代表 N-2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13　关键母线排序一致性（Spearman 相关与 Top-5 重合数）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67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比较</w:t>
            </w:r>
          </w:p>
        </w:tc>
        <w:tc>
          <w:tcPr>
            <w:tcW w:type="dxa" w:w="3422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/>
                <w:sz w:val="18"/>
              </w:rPr>
              <w:t>λ=1.00</w:t>
            </w:r>
            <w:r>
              <w:rPr>
                <w:rFonts w:ascii="Times New Roman" w:hAnsi="Times New Roman" w:eastAsia="宋体"/>
                <w:b/>
                <w:sz w:val="18"/>
              </w:rPr>
              <w:t xml:space="preserve"> Spearman / Top-5</w:t>
            </w:r>
          </w:p>
        </w:tc>
        <w:tc>
          <w:tcPr>
            <w:tcW w:type="dxa" w:w="3422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/>
                <w:sz w:val="18"/>
              </w:rPr>
              <w:t>λ=1.40</w:t>
            </w:r>
            <w:r>
              <w:rPr>
                <w:rFonts w:ascii="Times New Roman" w:hAnsi="Times New Roman" w:eastAsia="宋体"/>
                <w:b/>
                <w:sz w:val="18"/>
              </w:rPr>
              <w:t xml:space="preserve"> Spearman / Top-5</w:t>
            </w:r>
          </w:p>
        </w:tc>
      </w:tr>
      <w:tr>
        <w:tc>
          <w:tcPr>
            <w:tcW w:type="dxa" w:w="256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k</w:t>
            </w:r>
            <w:r>
              <w:rPr>
                <w:rFonts w:ascii="Times New Roman" w:hAnsi="Times New Roman" w:eastAsia="宋体"/>
                <w:sz w:val="18"/>
              </w:rPr>
              <w:t xml:space="preserve">=1 vs </w:t>
            </w:r>
            <w:r>
              <w:rPr>
                <w:rFonts w:ascii="Times New Roman" w:hAnsi="Times New Roman" w:eastAsia="宋体"/>
                <w:i/>
                <w:sz w:val="18"/>
              </w:rPr>
              <w:t>k</w:t>
            </w:r>
            <w:r>
              <w:rPr>
                <w:rFonts w:ascii="Times New Roman" w:hAnsi="Times New Roman" w:eastAsia="宋体"/>
                <w:sz w:val="18"/>
              </w:rPr>
              <w:t>=2</w:t>
            </w:r>
          </w:p>
        </w:tc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0.768</w:t>
            </w:r>
            <w:r>
              <w:rPr>
                <w:rFonts w:ascii="Times New Roman" w:hAnsi="Times New Roman" w:eastAsia="宋体"/>
                <w:sz w:val="18"/>
              </w:rPr>
              <w:t xml:space="preserve"> / 3</w:t>
            </w:r>
          </w:p>
        </w:tc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0.813</w:t>
            </w:r>
            <w:r>
              <w:rPr>
                <w:rFonts w:ascii="Times New Roman" w:hAnsi="Times New Roman" w:eastAsia="宋体"/>
                <w:sz w:val="18"/>
              </w:rPr>
              <w:t xml:space="preserve"> / 3</w:t>
            </w:r>
          </w:p>
        </w:tc>
      </w:tr>
      <w:tr>
        <w:tc>
          <w:tcPr>
            <w:tcW w:type="dxa" w:w="256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k</w:t>
            </w:r>
            <w:r>
              <w:rPr>
                <w:rFonts w:ascii="Times New Roman" w:hAnsi="Times New Roman" w:eastAsia="宋体"/>
                <w:sz w:val="18"/>
              </w:rPr>
              <w:t xml:space="preserve">=1 vs </w:t>
            </w:r>
            <w:r>
              <w:rPr>
                <w:rFonts w:ascii="Times New Roman" w:hAnsi="Times New Roman" w:eastAsia="宋体"/>
                <w:i/>
                <w:sz w:val="18"/>
              </w:rPr>
              <w:t>k</w:t>
            </w:r>
            <w:r>
              <w:rPr>
                <w:rFonts w:ascii="Times New Roman" w:hAnsi="Times New Roman" w:eastAsia="宋体"/>
                <w:sz w:val="18"/>
              </w:rPr>
              <w:t>=3</w:t>
            </w:r>
          </w:p>
        </w:tc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0.730 / 2</w:t>
            </w:r>
          </w:p>
        </w:tc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0.625 / 2</w:t>
            </w:r>
          </w:p>
        </w:tc>
      </w:tr>
      <w:tr>
        <w:tc>
          <w:tcPr>
            <w:tcW w:type="dxa" w:w="256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k</w:t>
            </w:r>
            <w:r>
              <w:rPr>
                <w:rFonts w:ascii="Times New Roman" w:hAnsi="Times New Roman" w:eastAsia="宋体"/>
                <w:sz w:val="18"/>
              </w:rPr>
              <w:t xml:space="preserve">=2 vs </w:t>
            </w:r>
            <w:r>
              <w:rPr>
                <w:rFonts w:ascii="Times New Roman" w:hAnsi="Times New Roman" w:eastAsia="宋体"/>
                <w:i/>
                <w:sz w:val="18"/>
              </w:rPr>
              <w:t>k</w:t>
            </w:r>
            <w:r>
              <w:rPr>
                <w:rFonts w:ascii="Times New Roman" w:hAnsi="Times New Roman" w:eastAsia="宋体"/>
                <w:sz w:val="18"/>
              </w:rPr>
              <w:t>=3</w:t>
            </w:r>
          </w:p>
        </w:tc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0.905 / 3</w:t>
            </w:r>
          </w:p>
        </w:tc>
        <w:tc>
          <w:tcPr>
            <w:tcW w:type="dxa" w:w="3422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0.852 / 4</w:t>
            </w:r>
          </w:p>
        </w:tc>
      </w:tr>
    </w:tbl>
    <w:p>
      <w:pPr>
        <w:spacing w:after="40"/>
      </w:pP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两个运行点、三种比较下 Spearman 均不超过 0.91，top-5 重合最多 4/5。</w:t>
      </w:r>
      <w:r>
        <w:rPr>
          <w:rFonts w:ascii="Times New Roman" w:hAnsi="Times New Roman" w:eastAsia="宋体"/>
          <w:b/>
          <w:sz w:val="21"/>
        </w:rPr>
        <w:t>“N-1 排序不能替代 N-2”不是某一区制的特例，而是本算例的普遍现象</w:t>
      </w:r>
      <w:r>
        <w:rPr>
          <w:rFonts w:ascii="Times New Roman" w:hAnsi="Times New Roman" w:eastAsia="宋体"/>
          <w:sz w:val="21"/>
        </w:rPr>
        <w:t xml:space="preserve">——这也正是本方法坚持做 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>=1/2/3 全枚举、而不是只做 N-1 筛查的理由。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3.5　机组致害度：哪台机组退出最危险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en_bus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color w:val="5C5C5C"/>
          <w:sz w:val="17"/>
        </w:rPr>
        <w:t xml:space="preserve">图 8　机组退出 → 母线失效的影响矩阵（N-1 归因）。上行：严重度；下行：失效指示。左右列分别为 </w:t>
      </w:r>
      <w:r>
        <w:rPr>
          <w:rFonts w:ascii="Times New Roman" w:hAnsi="Times New Roman" w:eastAsia="宋体"/>
          <w:i/>
          <w:color w:val="5C5C5C"/>
          <w:sz w:val="17"/>
        </w:rPr>
        <w:t>λ=1.00</w:t>
      </w:r>
      <w:r>
        <w:rPr>
          <w:rFonts w:ascii="Times New Roman" w:hAnsi="Times New Roman" w:eastAsia="宋体"/>
          <w:color w:val="5C5C5C"/>
          <w:sz w:val="17"/>
        </w:rPr>
        <w:t xml:space="preserve"> 与 </w:t>
      </w:r>
      <w:r>
        <w:rPr>
          <w:rFonts w:ascii="Times New Roman" w:hAnsi="Times New Roman" w:eastAsia="宋体"/>
          <w:i/>
          <w:color w:val="5C5C5C"/>
          <w:sz w:val="17"/>
        </w:rPr>
        <w:t>λ=1.40</w:t>
      </w:r>
      <w:r>
        <w:rPr>
          <w:rFonts w:ascii="Times New Roman" w:hAnsi="Times New Roman" w:eastAsia="宋体"/>
          <w:color w:val="5C5C5C"/>
          <w:sz w:val="17"/>
        </w:rPr>
        <w:t>。G@22 行的连续色块最长，G@1 行几乎全空。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14　机组致害度（基态潮流解与单机退出后的失效母线数）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826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机组（母线）</w:t>
            </w:r>
          </w:p>
        </w:tc>
        <w:tc>
          <w:tcPr>
            <w:tcW w:type="dxa" w:w="126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/>
                <w:sz w:val="18"/>
              </w:rPr>
              <w:t>P_g</w:t>
            </w:r>
            <w:r>
              <w:rPr>
                <w:rFonts w:ascii="Times New Roman" w:hAnsi="Times New Roman" w:eastAsia="宋体"/>
                <w:b/>
                <w:sz w:val="18"/>
              </w:rPr>
              <w:t xml:space="preserve"> (MW)</w:t>
            </w:r>
          </w:p>
        </w:tc>
        <w:tc>
          <w:tcPr>
            <w:tcW w:type="dxa" w:w="1405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/>
                <w:sz w:val="18"/>
              </w:rPr>
              <w:t>P_max</w:t>
            </w:r>
            <w:r>
              <w:rPr>
                <w:rFonts w:ascii="Times New Roman" w:hAnsi="Times New Roman" w:eastAsia="宋体"/>
                <w:b/>
                <w:sz w:val="18"/>
              </w:rPr>
              <w:t xml:space="preserve"> (MW)</w:t>
            </w:r>
          </w:p>
        </w:tc>
        <w:tc>
          <w:tcPr>
            <w:tcW w:type="dxa" w:w="2107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 xml:space="preserve">基态 </w:t>
            </w:r>
            <w:r>
              <w:rPr>
                <w:rFonts w:ascii="Times New Roman" w:hAnsi="Times New Roman" w:eastAsia="宋体"/>
                <w:b/>
                <w:i/>
                <w:sz w:val="18"/>
              </w:rPr>
              <w:t>Q_g</w:t>
            </w:r>
            <w:r>
              <w:rPr>
                <w:rFonts w:ascii="Times New Roman" w:hAnsi="Times New Roman" w:eastAsia="宋体"/>
                <w:b/>
                <w:sz w:val="18"/>
              </w:rPr>
              <w:t xml:space="preserve"> (Mvar)</w:t>
            </w:r>
          </w:p>
        </w:tc>
        <w:tc>
          <w:tcPr>
            <w:tcW w:type="dxa" w:w="1405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 xml:space="preserve">失效母线数 </w:t>
            </w:r>
            <w:r>
              <w:rPr>
                <w:rFonts w:ascii="Times New Roman" w:hAnsi="Times New Roman" w:eastAsia="宋体"/>
                <w:b/>
                <w:i/>
                <w:sz w:val="18"/>
              </w:rPr>
              <w:t>λ=1.00</w:t>
            </w:r>
          </w:p>
        </w:tc>
        <w:tc>
          <w:tcPr>
            <w:tcW w:type="dxa" w:w="1405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 xml:space="preserve">失效母线数 </w:t>
            </w:r>
            <w:r>
              <w:rPr>
                <w:rFonts w:ascii="Times New Roman" w:hAnsi="Times New Roman" w:eastAsia="宋体"/>
                <w:b/>
                <w:i/>
                <w:sz w:val="18"/>
              </w:rPr>
              <w:t>λ=1.40</w:t>
            </w:r>
          </w:p>
        </w:tc>
      </w:tr>
      <w:tr>
        <w:tc>
          <w:tcPr>
            <w:tcW w:type="dxa" w:w="182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G@22（B22）</w:t>
            </w:r>
          </w:p>
        </w:tc>
        <w:tc>
          <w:tcPr>
            <w:tcW w:type="dxa" w:w="126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21.6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50</w:t>
            </w:r>
          </w:p>
        </w:tc>
        <w:tc>
          <w:tcPr>
            <w:tcW w:type="dxa" w:w="210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+39.6（全网最大）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10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14</w:t>
            </w:r>
          </w:p>
        </w:tc>
      </w:tr>
      <w:tr>
        <w:tc>
          <w:tcPr>
            <w:tcW w:type="dxa" w:w="182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G@27（B27）</w:t>
            </w:r>
          </w:p>
        </w:tc>
        <w:tc>
          <w:tcPr>
            <w:tcW w:type="dxa" w:w="126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26.9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55</w:t>
            </w:r>
          </w:p>
        </w:tc>
        <w:tc>
          <w:tcPr>
            <w:tcW w:type="dxa" w:w="210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+10.5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</w:tr>
      <w:tr>
        <w:tc>
          <w:tcPr>
            <w:tcW w:type="dxa" w:w="182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G@13（B13）</w:t>
            </w:r>
          </w:p>
        </w:tc>
        <w:tc>
          <w:tcPr>
            <w:tcW w:type="dxa" w:w="126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37.0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40</w:t>
            </w:r>
          </w:p>
        </w:tc>
        <w:tc>
          <w:tcPr>
            <w:tcW w:type="dxa" w:w="210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+11.4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</w:tr>
      <w:tr>
        <w:tc>
          <w:tcPr>
            <w:tcW w:type="dxa" w:w="182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G@2（B2）</w:t>
            </w:r>
          </w:p>
        </w:tc>
        <w:tc>
          <w:tcPr>
            <w:tcW w:type="dxa" w:w="126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61.0（最大）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80</w:t>
            </w:r>
          </w:p>
        </w:tc>
        <w:tc>
          <w:tcPr>
            <w:tcW w:type="dxa" w:w="210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+32.0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</w:tr>
      <w:tr>
        <w:tc>
          <w:tcPr>
            <w:tcW w:type="dxa" w:w="182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G@23（B23）</w:t>
            </w:r>
          </w:p>
        </w:tc>
        <w:tc>
          <w:tcPr>
            <w:tcW w:type="dxa" w:w="126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19.2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30</w:t>
            </w:r>
          </w:p>
        </w:tc>
        <w:tc>
          <w:tcPr>
            <w:tcW w:type="dxa" w:w="210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+8.0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</w:tr>
      <w:tr>
        <w:tc>
          <w:tcPr>
            <w:tcW w:type="dxa" w:w="182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G@1（B1）</w:t>
            </w:r>
          </w:p>
        </w:tc>
        <w:tc>
          <w:tcPr>
            <w:tcW w:type="dxa" w:w="126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26.0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80</w:t>
            </w:r>
          </w:p>
        </w:tc>
        <w:tc>
          <w:tcPr>
            <w:tcW w:type="dxa" w:w="210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−1.0（唯一不进相）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0</w:t>
            </w:r>
          </w:p>
        </w:tc>
        <w:tc>
          <w:tcPr>
            <w:tcW w:type="dxa" w:w="140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spacing w:after="120" w:line="336" w:lineRule="auto"/>
      </w:pPr>
      <w:r>
        <w:rPr>
          <w:rFonts w:ascii="Times New Roman" w:hAnsi="Times New Roman" w:eastAsia="宋体"/>
          <w:b/>
          <w:sz w:val="21"/>
        </w:rPr>
        <w:t>有功口径解释不了危害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Times New Roman" w:hAnsi="Times New Roman" w:eastAsia="宋体"/>
          <w:i/>
          <w:sz w:val="21"/>
        </w:rPr>
        <w:t>P_g</w:t>
      </w:r>
      <w:r>
        <w:rPr>
          <w:rFonts w:ascii="Times New Roman" w:hAnsi="Times New Roman" w:eastAsia="宋体"/>
          <w:sz w:val="21"/>
        </w:rPr>
        <w:t xml:space="preserve"> 最大的 G@2（61.0 MW）只致 0 / 5 条，</w:t>
      </w:r>
      <w:r>
        <w:rPr>
          <w:rFonts w:ascii="Times New Roman" w:hAnsi="Times New Roman" w:eastAsia="宋体"/>
          <w:i/>
          <w:sz w:val="21"/>
        </w:rPr>
        <w:t>P_g</w:t>
      </w:r>
      <w:r>
        <w:rPr>
          <w:rFonts w:ascii="Times New Roman" w:hAnsi="Times New Roman" w:eastAsia="宋体"/>
          <w:sz w:val="21"/>
        </w:rPr>
        <w:t xml:space="preserve"> 仅 21.6 MW 的 G@22 反而致 10 / 14 条；</w:t>
      </w:r>
      <w:r>
        <w:rPr>
          <w:rFonts w:ascii="Times New Roman" w:hAnsi="Times New Roman" w:eastAsia="宋体"/>
          <w:i/>
          <w:sz w:val="21"/>
        </w:rPr>
        <w:t>P_max</w:t>
      </w:r>
      <w:r>
        <w:rPr>
          <w:rFonts w:ascii="Times New Roman" w:hAnsi="Times New Roman" w:eastAsia="宋体"/>
          <w:sz w:val="21"/>
        </w:rPr>
        <w:t xml:space="preserve"> 同为 80 MW 的 G@1 与 G@2，一个为 0、一个为 5。</w:t>
      </w:r>
      <w:r>
        <w:rPr>
          <w:rFonts w:ascii="Times New Roman" w:hAnsi="Times New Roman" w:eastAsia="宋体"/>
          <w:b/>
          <w:sz w:val="21"/>
        </w:rPr>
        <w:t>按容量排序会排错对象。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sz w:val="21"/>
        </w:rPr>
        <w:t>无功口径方向一致但非严格单调</w:t>
      </w:r>
      <w:r>
        <w:rPr>
          <w:rFonts w:ascii="Times New Roman" w:hAnsi="Times New Roman" w:eastAsia="宋体"/>
          <w:sz w:val="21"/>
        </w:rPr>
        <w:t>：致害最重的 G@22 恰是基态无功输出最大的一台（+39.6 Mvar），致害为 0 的 G@1 是唯一不进相的一台（−1.0 Mvar）；但 G@2（+32.0 Mvar）只致 0 / 5 条，说明“带走的无功多”仍不足以判定危害，还必须看它</w:t>
      </w:r>
      <w:r>
        <w:rPr>
          <w:rFonts w:ascii="Times New Roman" w:hAnsi="Times New Roman" w:eastAsia="宋体"/>
          <w:b/>
          <w:sz w:val="21"/>
        </w:rPr>
        <w:t>离哪些弱节点近</w:t>
      </w:r>
      <w:r>
        <w:rPr>
          <w:rFonts w:ascii="Times New Roman" w:hAnsi="Times New Roman" w:eastAsia="宋体"/>
          <w:sz w:val="21"/>
        </w:rPr>
        <w:t>。结论：机组危害由接入位置的电压/无功支撑作用决定，既不能按容量排，也不能按单一电气量排，必须逐机组仿真。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3.6　失效机理构成：它们因何而死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5015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ype_prof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01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color w:val="5C5C5C"/>
          <w:sz w:val="17"/>
        </w:rPr>
        <w:t>图 9　母线失效的类型剖面：每列一条母线，四行分别为 F1/F2a/F2b/F3 的</w:t>
      </w:r>
      <w:r>
        <w:rPr>
          <w:rFonts w:ascii="Times New Roman" w:hAnsi="Times New Roman" w:eastAsia="宋体"/>
          <w:b/>
          <w:color w:val="5C5C5C"/>
          <w:sz w:val="17"/>
        </w:rPr>
        <w:t>条件参与率</w:t>
      </w:r>
      <w:r>
        <w:rPr>
          <w:rFonts w:ascii="Times New Roman" w:hAnsi="Times New Roman" w:eastAsia="宋体"/>
          <w:color w:val="5C5C5C"/>
          <w:sz w:val="17"/>
        </w:rPr>
        <w:t>（该母线失效时该类机理出现的比例）。F2b 行在两个运行点上全为空白。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15　机理参与率（N-1+N-2 场景集内，按母线失效次数统计）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139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机理</w:t>
            </w:r>
          </w:p>
        </w:tc>
        <w:tc>
          <w:tcPr>
            <w:tcW w:type="dxa" w:w="242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/>
                <w:sz w:val="18"/>
              </w:rPr>
              <w:t>λ=1.00</w:t>
            </w:r>
            <w:r>
              <w:rPr>
                <w:rFonts w:ascii="Times New Roman" w:hAnsi="Times New Roman" w:eastAsia="宋体"/>
                <w:b/>
                <w:sz w:val="18"/>
              </w:rPr>
              <w:t>（共 145 次失效）</w:t>
            </w:r>
          </w:p>
        </w:tc>
        <w:tc>
          <w:tcPr>
            <w:tcW w:type="dxa" w:w="242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/>
                <w:sz w:val="18"/>
              </w:rPr>
              <w:t>λ=1.40</w:t>
            </w:r>
            <w:r>
              <w:rPr>
                <w:rFonts w:ascii="Times New Roman" w:hAnsi="Times New Roman" w:eastAsia="宋体"/>
                <w:b/>
                <w:sz w:val="18"/>
              </w:rPr>
              <w:t>（共 207 次失效）</w:t>
            </w:r>
          </w:p>
        </w:tc>
        <w:tc>
          <w:tcPr>
            <w:tcW w:type="dxa" w:w="242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F1（电压新增越限）</w:t>
            </w:r>
          </w:p>
        </w:tc>
        <w:tc>
          <w:tcPr>
            <w:tcW w:type="dxa" w:w="242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141（</w:t>
            </w:r>
            <w:r>
              <w:rPr>
                <w:rFonts w:ascii="Times New Roman" w:hAnsi="Times New Roman" w:eastAsia="宋体"/>
                <w:b/>
                <w:sz w:val="18"/>
              </w:rPr>
              <w:t>97%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242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199（</w:t>
            </w:r>
            <w:r>
              <w:rPr>
                <w:rFonts w:ascii="Times New Roman" w:hAnsi="Times New Roman" w:eastAsia="宋体"/>
                <w:b/>
                <w:sz w:val="18"/>
              </w:rPr>
              <w:t>96%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242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几乎每次失效都伴随电压越限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F2a（电压崩溃）</w:t>
            </w:r>
          </w:p>
        </w:tc>
        <w:tc>
          <w:tcPr>
            <w:tcW w:type="dxa" w:w="242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27（19%）</w:t>
            </w:r>
          </w:p>
        </w:tc>
        <w:tc>
          <w:tcPr>
            <w:tcW w:type="dxa" w:w="242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50（24%）</w:t>
            </w:r>
          </w:p>
        </w:tc>
        <w:tc>
          <w:tcPr>
            <w:tcW w:type="dxa" w:w="242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少数场景跌到 0.80 pu 以下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F2b（潮流无可行点）</w:t>
            </w:r>
          </w:p>
        </w:tc>
        <w:tc>
          <w:tcPr>
            <w:tcW w:type="dxa" w:w="242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0（0%）</w:t>
            </w:r>
          </w:p>
        </w:tc>
        <w:tc>
          <w:tcPr>
            <w:tcW w:type="dxa" w:w="242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0（0%）</w:t>
            </w:r>
          </w:p>
        </w:tc>
        <w:tc>
          <w:tcPr>
            <w:tcW w:type="dxa" w:w="242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该算例潮流始终有解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F3（失电）</w:t>
            </w:r>
          </w:p>
        </w:tc>
        <w:tc>
          <w:tcPr>
            <w:tcW w:type="dxa" w:w="242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54（</w:t>
            </w:r>
            <w:r>
              <w:rPr>
                <w:rFonts w:ascii="Times New Roman" w:hAnsi="Times New Roman" w:eastAsia="宋体"/>
                <w:b/>
                <w:sz w:val="18"/>
              </w:rPr>
              <w:t>37%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242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61（</w:t>
            </w:r>
            <w:r>
              <w:rPr>
                <w:rFonts w:ascii="Times New Roman" w:hAnsi="Times New Roman" w:eastAsia="宋体"/>
                <w:b/>
                <w:sz w:val="18"/>
              </w:rPr>
              <w:t>29%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242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拓扑型失效，占比次高</w:t>
            </w:r>
          </w:p>
        </w:tc>
      </w:tr>
    </w:tbl>
    <w:p>
      <w:pPr>
        <w:spacing w:after="40"/>
      </w:pPr>
    </w:p>
    <w:p>
      <w:pPr>
        <w:spacing w:before="120" w:after="160"/>
        <w:ind w:left="113"/>
        <w:shd w:val="clear" w:color="auto" w:fill="FDF6F4"/>
        <w:pBdr>
          <w:left w:val="single" w:sz="18" w:space="8" w:color="8C2F22"/>
        </w:pBdr>
      </w:pPr>
      <w:r>
        <w:rPr>
          <w:rFonts w:ascii="Times New Roman" w:hAnsi="Times New Roman" w:eastAsia="宋体"/>
          <w:color w:val="4A2A24"/>
          <w:sz w:val="19"/>
        </w:rPr>
        <w:t>参与率</w:t>
      </w:r>
      <w:r>
        <w:rPr>
          <w:rFonts w:ascii="Times New Roman" w:hAnsi="Times New Roman" w:eastAsia="宋体"/>
          <w:b/>
          <w:color w:val="4A2A24"/>
          <w:sz w:val="19"/>
        </w:rPr>
        <w:t>非互斥</w:t>
      </w:r>
      <w:r>
        <w:rPr>
          <w:rFonts w:ascii="Times New Roman" w:hAnsi="Times New Roman" w:eastAsia="宋体"/>
          <w:color w:val="4A2A24"/>
          <w:sz w:val="19"/>
        </w:rPr>
        <w:t>（同一母线可同时因 F1 与 F3 失效，故各项之和 &gt;100%），因此禁止画堆叠柱状图，只能并列或画热力图。</w:t>
      </w:r>
    </w:p>
    <w:p>
      <w:pPr>
        <w:spacing w:after="120" w:line="336" w:lineRule="auto"/>
      </w:pPr>
      <w:r>
        <w:rPr>
          <w:rFonts w:ascii="Times New Roman" w:hAnsi="Times New Roman" w:eastAsia="宋体"/>
          <w:b/>
          <w:sz w:val="21"/>
        </w:rPr>
        <w:t>该算例不存在 F2b 型失效</w:t>
      </w:r>
      <w:r>
        <w:rPr>
          <w:rFonts w:ascii="Times New Roman" w:hAnsi="Times New Roman" w:eastAsia="宋体"/>
          <w:sz w:val="21"/>
        </w:rPr>
        <w:t>：电力充裕、无重载断面，潮流始终有解；母线失效主要通过电压越限（F1）与解列失电（F3）产生。这提示一个方法学要点：</w:t>
      </w:r>
      <w:r>
        <w:rPr>
          <w:rFonts w:ascii="Times New Roman" w:hAnsi="Times New Roman" w:eastAsia="宋体"/>
          <w:b/>
          <w:sz w:val="21"/>
        </w:rPr>
        <w:t>“母线失效”不能只用“潮流收敛性”来定义</w:t>
      </w:r>
      <w:r>
        <w:rPr>
          <w:rFonts w:ascii="Times New Roman" w:hAnsi="Times New Roman" w:eastAsia="宋体"/>
          <w:sz w:val="21"/>
        </w:rPr>
        <w:t>，否则在轻载算例上会得到“零失效”的错误结论。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3.7　传播速度：级联在第几步发生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0216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pagation_spe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1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color w:val="5C5C5C"/>
          <w:sz w:val="17"/>
        </w:rPr>
        <w:t>图 10　左：逐阶段的过载线路数与失电母线数（</w:t>
      </w:r>
      <w:r>
        <w:rPr>
          <w:rFonts w:ascii="Times New Roman" w:hAnsi="Times New Roman" w:eastAsia="宋体"/>
          <w:i/>
          <w:color w:val="5C5C5C"/>
          <w:sz w:val="17"/>
        </w:rPr>
        <w:t>λ=1.40</w:t>
      </w:r>
      <w:r>
        <w:rPr>
          <w:rFonts w:ascii="Times New Roman" w:hAnsi="Times New Roman" w:eastAsia="宋体"/>
          <w:color w:val="5C5C5C"/>
          <w:sz w:val="17"/>
        </w:rPr>
        <w:t xml:space="preserve"> 在第 4–5 阶段急剧上升）；右：首次失效阶段的母线数分布。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16　各阶段首次失效的母线数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506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运行点</w:t>
            </w:r>
          </w:p>
        </w:tc>
        <w:tc>
          <w:tcPr>
            <w:tcW w:type="dxa" w:w="100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s1</w:t>
            </w:r>
          </w:p>
        </w:tc>
        <w:tc>
          <w:tcPr>
            <w:tcW w:type="dxa" w:w="100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s2</w:t>
            </w:r>
          </w:p>
        </w:tc>
        <w:tc>
          <w:tcPr>
            <w:tcW w:type="dxa" w:w="100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s3</w:t>
            </w:r>
          </w:p>
        </w:tc>
        <w:tc>
          <w:tcPr>
            <w:tcW w:type="dxa" w:w="100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s4</w:t>
            </w:r>
          </w:p>
        </w:tc>
        <w:tc>
          <w:tcPr>
            <w:tcW w:type="dxa" w:w="100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s5</w:t>
            </w:r>
          </w:p>
        </w:tc>
        <w:tc>
          <w:tcPr>
            <w:tcW w:type="dxa" w:w="1631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场景级最长阶段</w:t>
            </w:r>
          </w:p>
        </w:tc>
        <w:tc>
          <w:tcPr>
            <w:tcW w:type="dxa" w:w="1255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链长中位</w:t>
            </w:r>
          </w:p>
        </w:tc>
      </w:tr>
      <w:tr>
        <w:tc>
          <w:tcPr>
            <w:tcW w:type="dxa" w:w="15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λ=1.00</w:t>
            </w:r>
          </w:p>
        </w:tc>
        <w:tc>
          <w:tcPr>
            <w:tcW w:type="dxa" w:w="100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87</w:t>
            </w:r>
          </w:p>
        </w:tc>
        <w:tc>
          <w:tcPr>
            <w:tcW w:type="dxa" w:w="100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27</w:t>
            </w:r>
          </w:p>
        </w:tc>
        <w:tc>
          <w:tcPr>
            <w:tcW w:type="dxa" w:w="100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19</w:t>
            </w:r>
          </w:p>
        </w:tc>
        <w:tc>
          <w:tcPr>
            <w:tcW w:type="dxa" w:w="100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100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63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125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2.5</w:t>
            </w:r>
          </w:p>
        </w:tc>
      </w:tr>
      <w:tr>
        <w:tc>
          <w:tcPr>
            <w:tcW w:type="dxa" w:w="150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λ=1.40</w:t>
            </w:r>
          </w:p>
        </w:tc>
        <w:tc>
          <w:tcPr>
            <w:tcW w:type="dxa" w:w="100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178</w:t>
            </w:r>
          </w:p>
        </w:tc>
        <w:tc>
          <w:tcPr>
            <w:tcW w:type="dxa" w:w="100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type="dxa" w:w="100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16</w:t>
            </w:r>
          </w:p>
        </w:tc>
        <w:tc>
          <w:tcPr>
            <w:tcW w:type="dxa" w:w="100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00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63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255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3.0</w:t>
            </w:r>
          </w:p>
        </w:tc>
      </w:tr>
    </w:tbl>
    <w:p>
      <w:pPr>
        <w:spacing w:after="40"/>
      </w:pP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两个运行点有质的差别：</w:t>
      </w:r>
      <w:r>
        <w:rPr>
          <w:rFonts w:ascii="Times New Roman" w:hAnsi="Times New Roman" w:eastAsia="宋体"/>
          <w:i/>
          <w:sz w:val="21"/>
        </w:rPr>
        <w:t>λ=1.00</w:t>
      </w:r>
      <w:r>
        <w:rPr>
          <w:rFonts w:ascii="Times New Roman" w:hAnsi="Times New Roman" w:eastAsia="宋体"/>
          <w:sz w:val="21"/>
        </w:rPr>
        <w:t xml:space="preserve"> 时约 60% 的失效挤在第 1 阶段、但仍有 4 条母线拖到第 5 阶段（渐进式级联，尚有干预窗口）；</w:t>
      </w:r>
      <w:r>
        <w:rPr>
          <w:rFonts w:ascii="Times New Roman" w:hAnsi="Times New Roman" w:eastAsia="宋体"/>
          <w:i/>
          <w:sz w:val="21"/>
        </w:rPr>
        <w:t>λ=1.40</w:t>
      </w:r>
      <w:r>
        <w:rPr>
          <w:rFonts w:ascii="Times New Roman" w:hAnsi="Times New Roman" w:eastAsia="宋体"/>
          <w:sz w:val="21"/>
        </w:rPr>
        <w:t xml:space="preserve"> 时 86% 的失效在第 1 阶段就发生（“一步到位”式失效），后续阶段只是收尾。</w:t>
      </w:r>
      <w:r>
        <w:rPr>
          <w:rFonts w:ascii="Times New Roman" w:hAnsi="Times New Roman" w:eastAsia="宋体"/>
          <w:b/>
          <w:sz w:val="21"/>
        </w:rPr>
        <w:t>这意味着高负荷下的预警窗口极短</w:t>
      </w:r>
      <w:r>
        <w:rPr>
          <w:rFonts w:ascii="Times New Roman" w:hAnsi="Times New Roman" w:eastAsia="宋体"/>
          <w:sz w:val="21"/>
        </w:rPr>
        <w:t>，依靠多阶段处置的防线基本来不及发挥作用。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3.8　起始阶段 × 后果：早发母线是不是高危母线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280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nset_sever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2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color w:val="5C5C5C"/>
          <w:sz w:val="17"/>
        </w:rPr>
        <w:t xml:space="preserve">图 11　母线失效的四象限图：横轴为平均首次失效阶段 </w:t>
      </w:r>
      <w:r>
        <w:rPr>
          <w:rFonts w:ascii="Times New Roman" w:hAnsi="Times New Roman" w:eastAsia="宋体"/>
          <w:i/>
          <w:color w:val="5C5C5C"/>
          <w:sz w:val="17"/>
        </w:rPr>
        <w:t>τ_b</w:t>
      </w:r>
      <w:r>
        <w:rPr>
          <w:rFonts w:ascii="Times New Roman" w:hAnsi="Times New Roman" w:eastAsia="宋体"/>
          <w:color w:val="5C5C5C"/>
          <w:sz w:val="17"/>
        </w:rPr>
        <w:t>（越小越早），纵轴为所在场景的系统失负荷率；颜色为主导致效机理，点大小为失效概率。左上角为“早期+高后果”的预警锚点。</w:t>
      </w:r>
    </w:p>
    <w:p>
      <w:pPr>
        <w:spacing w:after="120" w:line="336" w:lineRule="auto"/>
      </w:pPr>
      <w:r>
        <w:rPr>
          <w:rFonts w:ascii="Times New Roman" w:hAnsi="Times New Roman" w:eastAsia="宋体"/>
          <w:i/>
          <w:sz w:val="21"/>
        </w:rPr>
        <w:t>τ_b</w:t>
      </w:r>
      <w:r>
        <w:rPr>
          <w:rFonts w:ascii="Times New Roman" w:hAnsi="Times New Roman" w:eastAsia="宋体"/>
          <w:sz w:val="21"/>
        </w:rPr>
        <w:t xml:space="preserve"> 与后果的 Spearman 相关仅 </w:t>
      </w:r>
      <w:r>
        <w:rPr>
          <w:rFonts w:ascii="Times New Roman" w:hAnsi="Times New Roman" w:eastAsia="宋体"/>
          <w:b/>
          <w:sz w:val="21"/>
        </w:rPr>
        <w:t>0.59 / 0.27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Times New Roman" w:hAnsi="Times New Roman" w:eastAsia="宋体"/>
          <w:i/>
          <w:sz w:val="21"/>
        </w:rPr>
        <w:t>λ=1.00/1.40</w:t>
      </w:r>
      <w:r>
        <w:rPr>
          <w:rFonts w:ascii="Times New Roman" w:hAnsi="Times New Roman" w:eastAsia="宋体"/>
          <w:sz w:val="21"/>
        </w:rPr>
        <w:t xml:space="preserve">，由 </w:t>
      </w:r>
      <w:r>
        <w:rPr>
          <w:rFonts w:ascii="Consolas" w:hAnsi="Consolas" w:eastAsia="等线"/>
          <w:sz w:val="19"/>
        </w:rPr>
        <w:t>first_failure.csv</w:t>
      </w:r>
      <w:r>
        <w:rPr>
          <w:rFonts w:ascii="Times New Roman" w:hAnsi="Times New Roman" w:eastAsia="宋体"/>
          <w:sz w:val="21"/>
        </w:rPr>
        <w:t xml:space="preserve"> 可复算）：早发母线的后果</w:t>
      </w:r>
      <w:r>
        <w:rPr>
          <w:rFonts w:ascii="Times New Roman" w:hAnsi="Times New Roman" w:eastAsia="宋体"/>
          <w:b/>
          <w:sz w:val="21"/>
        </w:rPr>
        <w:t>并不系统性地更重</w:t>
      </w:r>
      <w:r>
        <w:rPr>
          <w:rFonts w:ascii="Times New Roman" w:hAnsi="Times New Roman" w:eastAsia="宋体"/>
          <w:sz w:val="21"/>
        </w:rPr>
        <w:t xml:space="preserve">。例如 </w:t>
      </w:r>
      <w:r>
        <w:rPr>
          <w:rFonts w:ascii="Times New Roman" w:hAnsi="Times New Roman" w:eastAsia="宋体"/>
          <w:i/>
          <w:sz w:val="21"/>
        </w:rPr>
        <w:t>λ=1.40</w:t>
      </w:r>
      <w:r>
        <w:rPr>
          <w:rFonts w:ascii="Times New Roman" w:hAnsi="Times New Roman" w:eastAsia="宋体"/>
          <w:sz w:val="21"/>
        </w:rPr>
        <w:t xml:space="preserve"> 时 B6/B5/B7 在第 1 阶段即失效（</w:t>
      </w:r>
      <w:r>
        <w:rPr>
          <w:rFonts w:ascii="Times New Roman" w:hAnsi="Times New Roman" w:eastAsia="宋体"/>
          <w:i/>
          <w:sz w:val="21"/>
        </w:rPr>
        <w:t>τ_b</w:t>
      </w:r>
      <w:r>
        <w:rPr>
          <w:rFonts w:ascii="Times New Roman" w:hAnsi="Times New Roman" w:eastAsia="宋体"/>
          <w:sz w:val="21"/>
        </w:rPr>
        <w:t>=1.0），但其所在场景的失负荷率多在 0.4 左右；而 B1、B2、B3 平均第 2–3 阶段才失效，后果却接近满额（0.94）。</w:t>
      </w:r>
      <w:r>
        <w:rPr>
          <w:rFonts w:ascii="Times New Roman" w:hAnsi="Times New Roman" w:eastAsia="宋体"/>
          <w:b/>
          <w:sz w:val="21"/>
        </w:rPr>
        <w:t>因此“预警清单”与“加固清单”必须分开排序</w:t>
      </w:r>
      <w:r>
        <w:rPr>
          <w:rFonts w:ascii="Times New Roman" w:hAnsi="Times New Roman" w:eastAsia="宋体"/>
          <w:sz w:val="21"/>
        </w:rPr>
        <w:t>，不能用一套排名兼顾两件事。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3.9　单场景泳道图：把机理链画出来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415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wimlane_Regime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color w:val="5C5C5C"/>
          <w:sz w:val="17"/>
        </w:rPr>
        <w:t xml:space="preserve">图 12　</w:t>
      </w:r>
      <w:r>
        <w:rPr>
          <w:rFonts w:ascii="Times New Roman" w:hAnsi="Times New Roman" w:eastAsia="宋体"/>
          <w:i/>
          <w:color w:val="5C5C5C"/>
          <w:sz w:val="17"/>
        </w:rPr>
        <w:t>λ=1.00</w:t>
      </w:r>
      <w:r>
        <w:rPr>
          <w:rFonts w:ascii="Times New Roman" w:hAnsi="Times New Roman" w:eastAsia="宋体"/>
          <w:color w:val="5C5C5C"/>
          <w:sz w:val="17"/>
        </w:rPr>
        <w:t>（Regime I）典型场景：G@22 单机退出 → 10 条母线在第 1 阶段即电压越限（全部 F1），无过载跳线、无失电、失负荷 0 MW。一条“浅级联”。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61996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wimlane_RegimeI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19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color w:val="5C5C5C"/>
          <w:sz w:val="17"/>
        </w:rPr>
        <w:t xml:space="preserve">图 13　</w:t>
      </w:r>
      <w:r>
        <w:rPr>
          <w:rFonts w:ascii="Times New Roman" w:hAnsi="Times New Roman" w:eastAsia="宋体"/>
          <w:i/>
          <w:color w:val="5C5C5C"/>
          <w:sz w:val="17"/>
        </w:rPr>
        <w:t>λ=1.40</w:t>
      </w:r>
      <w:r>
        <w:rPr>
          <w:rFonts w:ascii="Times New Roman" w:hAnsi="Times New Roman" w:eastAsia="宋体"/>
          <w:color w:val="5C5C5C"/>
          <w:sz w:val="17"/>
        </w:rPr>
        <w:t>（Regime II）两个场景。上：G@2+G@13 退出 → 30 条母线失效、5 个阶段、失负荷 265 MW，可见线路过载（L 层橙块）与母线失效（B 层菱形）交替推进；下：同样在高负荷下 G@22 单机退出 → 14 条母线、3 个阶段、失负荷 16 MW。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泳道图把三个层次画在同一时间轴上：</w:t>
      </w:r>
      <w:r>
        <w:rPr>
          <w:rFonts w:ascii="Times New Roman" w:hAnsi="Times New Roman" w:eastAsia="宋体"/>
          <w:b/>
          <w:sz w:val="21"/>
        </w:rPr>
        <w:t>G 层</w:t>
      </w:r>
      <w:r>
        <w:rPr>
          <w:rFonts w:ascii="Times New Roman" w:hAnsi="Times New Roman" w:eastAsia="宋体"/>
          <w:sz w:val="21"/>
        </w:rPr>
        <w:t>（机组在运/初始退出/级联中退出）、</w:t>
      </w:r>
      <w:r>
        <w:rPr>
          <w:rFonts w:ascii="Times New Roman" w:hAnsi="Times New Roman" w:eastAsia="宋体"/>
          <w:b/>
          <w:sz w:val="21"/>
        </w:rPr>
        <w:t>L 层</w:t>
      </w:r>
      <w:r>
        <w:rPr>
          <w:rFonts w:ascii="Times New Roman" w:hAnsi="Times New Roman" w:eastAsia="宋体"/>
          <w:sz w:val="21"/>
        </w:rPr>
        <w:t>（过载线路）、</w:t>
      </w:r>
      <w:r>
        <w:rPr>
          <w:rFonts w:ascii="Times New Roman" w:hAnsi="Times New Roman" w:eastAsia="宋体"/>
          <w:b/>
          <w:sz w:val="21"/>
        </w:rPr>
        <w:t>B 层</w:t>
      </w:r>
      <w:r>
        <w:rPr>
          <w:rFonts w:ascii="Times New Roman" w:hAnsi="Times New Roman" w:eastAsia="宋体"/>
          <w:sz w:val="21"/>
        </w:rPr>
        <w:t>（失效母线及其机理）。Regime II 场景中可以看到清晰的正反馈：机组退出 → 潮流转移 → 线路过载跳闸 → 电压下坠 → 更多机组因欠压/低频退出 → 更大潮流转移。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3.10　端到端闭环验证：从两台机组到全网失效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为验证“机组退出 → 母线失效”这条链条确实可解释、可复算，用引擎直接跑两个最小用例（命令见附录 B）：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17　闭环验证用例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2823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用例</w:t>
            </w:r>
          </w:p>
        </w:tc>
        <w:tc>
          <w:tcPr>
            <w:tcW w:type="dxa" w:w="823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阶段数</w:t>
            </w:r>
          </w:p>
        </w:tc>
        <w:tc>
          <w:tcPr>
            <w:tcW w:type="dxa" w:w="1059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失效母线</w:t>
            </w:r>
          </w:p>
        </w:tc>
        <w:tc>
          <w:tcPr>
            <w:tcW w:type="dxa" w:w="1059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失电母线</w:t>
            </w:r>
          </w:p>
        </w:tc>
        <w:tc>
          <w:tcPr>
            <w:tcW w:type="dxa" w:w="1059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减载 (MW)</w:t>
            </w:r>
          </w:p>
        </w:tc>
        <w:tc>
          <w:tcPr>
            <w:tcW w:type="dxa" w:w="2588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主要机理</w:t>
            </w:r>
          </w:p>
        </w:tc>
      </w:tr>
      <w:tr>
        <w:tc>
          <w:tcPr>
            <w:tcW w:type="dxa" w:w="28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G@22 单机退出（</w:t>
            </w:r>
            <w:r>
              <w:rPr>
                <w:rFonts w:ascii="Times New Roman" w:hAnsi="Times New Roman" w:eastAsia="宋体"/>
                <w:i/>
                <w:sz w:val="18"/>
              </w:rPr>
              <w:t>λ=1.00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8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05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10 / 30</w:t>
            </w:r>
          </w:p>
        </w:tc>
        <w:tc>
          <w:tcPr>
            <w:tcW w:type="dxa" w:w="105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105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258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全部 F1_new，最低电压 0.932–0.948 pu</w:t>
            </w:r>
          </w:p>
        </w:tc>
      </w:tr>
      <w:tr>
        <w:tc>
          <w:tcPr>
            <w:tcW w:type="dxa" w:w="28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G@2 + G@13 双机退出（</w:t>
            </w:r>
            <w:r>
              <w:rPr>
                <w:rFonts w:ascii="Times New Roman" w:hAnsi="Times New Roman" w:eastAsia="宋体"/>
                <w:i/>
                <w:sz w:val="18"/>
              </w:rPr>
              <w:t>λ=1.00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8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type="dxa" w:w="105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30 / 30</w:t>
            </w:r>
          </w:p>
        </w:tc>
        <w:tc>
          <w:tcPr>
            <w:tcW w:type="dxa" w:w="105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30</w:t>
            </w:r>
          </w:p>
        </w:tc>
        <w:tc>
          <w:tcPr>
            <w:tcW w:type="dxa" w:w="105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189</w:t>
            </w:r>
          </w:p>
        </w:tc>
        <w:tc>
          <w:tcPr>
            <w:tcW w:type="dxa" w:w="258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过载跳线 + 低频切机 + UVLS + 解列</w:t>
            </w:r>
          </w:p>
        </w:tc>
      </w:tr>
      <w:tr>
        <w:tc>
          <w:tcPr>
            <w:tcW w:type="dxa" w:w="28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G@2 + G@13 双机退出（</w:t>
            </w:r>
            <w:r>
              <w:rPr>
                <w:rFonts w:ascii="Times New Roman" w:hAnsi="Times New Roman" w:eastAsia="宋体"/>
                <w:i/>
                <w:sz w:val="18"/>
              </w:rPr>
              <w:t>λ=1.40</w:t>
            </w:r>
            <w:r>
              <w:rPr>
                <w:rFonts w:ascii="Times New Roman" w:hAnsi="Times New Roman" w:eastAsia="宋体"/>
                <w:sz w:val="18"/>
              </w:rPr>
              <w:t>）</w:t>
            </w:r>
          </w:p>
        </w:tc>
        <w:tc>
          <w:tcPr>
            <w:tcW w:type="dxa" w:w="823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type="dxa" w:w="105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30 / 30</w:t>
            </w:r>
          </w:p>
        </w:tc>
        <w:tc>
          <w:tcPr>
            <w:tcW w:type="dxa" w:w="105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30</w:t>
            </w:r>
          </w:p>
        </w:tc>
        <w:tc>
          <w:tcPr>
            <w:tcW w:type="dxa" w:w="105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265</w:t>
            </w:r>
          </w:p>
        </w:tc>
        <w:tc>
          <w:tcPr>
            <w:tcW w:type="dxa" w:w="2588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同上，减载量更大</w:t>
            </w:r>
          </w:p>
        </w:tc>
      </w:tr>
    </w:tbl>
    <w:p>
      <w:pPr>
        <w:spacing w:after="40"/>
      </w:pP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双机用例的逐阶段动作（引擎日志原样输出，</w:t>
      </w:r>
      <w:r>
        <w:rPr>
          <w:rFonts w:ascii="Times New Roman" w:hAnsi="Times New Roman" w:eastAsia="宋体"/>
          <w:i/>
          <w:sz w:val="21"/>
        </w:rPr>
        <w:t>λ=1.00</w:t>
      </w:r>
      <w:r>
        <w:rPr>
          <w:rFonts w:ascii="Times New Roman" w:hAnsi="Times New Roman" w:eastAsia="宋体"/>
          <w:sz w:val="21"/>
        </w:rPr>
        <w:t>）：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18　G@2 + G@13 退出的逐阶段动作序列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11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546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动作</w:t>
            </w:r>
          </w:p>
        </w:tc>
        <w:tc>
          <w:tcPr>
            <w:tcW w:type="dxa" w:w="3036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机理</w:t>
            </w:r>
          </w:p>
        </w:tc>
      </w:tr>
      <w:tr>
        <w:tc>
          <w:tcPr>
            <w:tcW w:type="dxa" w:w="91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5464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line_overload_trip</w:t>
            </w:r>
            <w:r>
              <w:rPr>
                <w:rFonts w:ascii="Times New Roman" w:hAnsi="Times New Roman" w:eastAsia="宋体"/>
                <w:sz w:val="18"/>
              </w:rPr>
              <w:t xml:space="preserve"> branch#29（L=1.43）；</w:t>
            </w:r>
            <w:r>
              <w:rPr>
                <w:rFonts w:ascii="Consolas" w:hAnsi="Consolas" w:eastAsia="等线"/>
                <w:sz w:val="16"/>
              </w:rPr>
              <w:t>gen_trip_underfreq</w:t>
            </w:r>
            <w:r>
              <w:rPr>
                <w:rFonts w:ascii="Times New Roman" w:hAnsi="Times New Roman" w:eastAsia="宋体"/>
                <w:sz w:val="18"/>
              </w:rPr>
              <w:t xml:space="preserve"> G@23（f=56.58 Hz）</w:t>
            </w:r>
          </w:p>
        </w:tc>
        <w:tc>
          <w:tcPr>
            <w:tcW w:type="dxa" w:w="303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功率转移 → 线路过载 → 频率跌落切机</w:t>
            </w:r>
          </w:p>
        </w:tc>
      </w:tr>
      <w:tr>
        <w:tc>
          <w:tcPr>
            <w:tcW w:type="dxa" w:w="91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5464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uvls</w:t>
            </w:r>
            <w:r>
              <w:rPr>
                <w:rFonts w:ascii="Times New Roman" w:hAnsi="Times New Roman" w:eastAsia="宋体"/>
                <w:sz w:val="18"/>
              </w:rPr>
              <w:t xml:space="preserve"> B14；</w:t>
            </w:r>
            <w:r>
              <w:rPr>
                <w:rFonts w:ascii="Consolas" w:hAnsi="Consolas" w:eastAsia="等线"/>
                <w:sz w:val="16"/>
              </w:rPr>
              <w:t>gen_trip_underfreq</w:t>
            </w:r>
            <w:r>
              <w:rPr>
                <w:rFonts w:ascii="Times New Roman" w:hAnsi="Times New Roman" w:eastAsia="宋体"/>
                <w:sz w:val="18"/>
              </w:rPr>
              <w:t xml:space="preserve"> G@22（f=54.47 Hz）</w:t>
            </w:r>
          </w:p>
        </w:tc>
        <w:tc>
          <w:tcPr>
            <w:tcW w:type="dxa" w:w="303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电压下降触发 UVLS，频率继续恶化</w:t>
            </w:r>
          </w:p>
        </w:tc>
      </w:tr>
      <w:tr>
        <w:tc>
          <w:tcPr>
            <w:tcW w:type="dxa" w:w="91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5464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line_overload_trip</w:t>
            </w:r>
            <w:r>
              <w:rPr>
                <w:rFonts w:ascii="Times New Roman" w:hAnsi="Times New Roman" w:eastAsia="宋体"/>
                <w:sz w:val="18"/>
              </w:rPr>
              <w:t xml:space="preserve"> branch#32/#34；</w:t>
            </w:r>
            <w:r>
              <w:rPr>
                <w:rFonts w:ascii="Consolas" w:hAnsi="Consolas" w:eastAsia="等线"/>
                <w:sz w:val="16"/>
              </w:rPr>
              <w:t>uvls</w:t>
            </w:r>
            <w:r>
              <w:rPr>
                <w:rFonts w:ascii="Times New Roman" w:hAnsi="Times New Roman" w:eastAsia="宋体"/>
                <w:sz w:val="18"/>
              </w:rPr>
              <w:t xml:space="preserve"> ×17；</w:t>
            </w:r>
            <w:r>
              <w:rPr>
                <w:rFonts w:ascii="Consolas" w:hAnsi="Consolas" w:eastAsia="等线"/>
                <w:sz w:val="16"/>
              </w:rPr>
              <w:t>gen_trip_underfreq</w:t>
            </w:r>
            <w:r>
              <w:rPr>
                <w:rFonts w:ascii="Times New Roman" w:hAnsi="Times New Roman" w:eastAsia="宋体"/>
                <w:sz w:val="18"/>
              </w:rPr>
              <w:t xml:space="preserve"> G@27</w:t>
            </w:r>
          </w:p>
        </w:tc>
        <w:tc>
          <w:tcPr>
            <w:tcW w:type="dxa" w:w="303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二次过载跳线，减载面扩大</w:t>
            </w:r>
          </w:p>
        </w:tc>
      </w:tr>
      <w:tr>
        <w:tc>
          <w:tcPr>
            <w:tcW w:type="dxa" w:w="91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5464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uvls</w:t>
            </w:r>
            <w:r>
              <w:rPr>
                <w:rFonts w:ascii="Times New Roman" w:hAnsi="Times New Roman" w:eastAsia="宋体"/>
                <w:sz w:val="18"/>
              </w:rPr>
              <w:t xml:space="preserve"> ×17；</w:t>
            </w:r>
            <w:r>
              <w:rPr>
                <w:rFonts w:ascii="Consolas" w:hAnsi="Consolas" w:eastAsia="等线"/>
                <w:sz w:val="16"/>
              </w:rPr>
              <w:t>gen_trip_underfreq</w:t>
            </w:r>
            <w:r>
              <w:rPr>
                <w:rFonts w:ascii="Times New Roman" w:hAnsi="Times New Roman" w:eastAsia="宋体"/>
                <w:sz w:val="18"/>
              </w:rPr>
              <w:t xml:space="preserve"> G@1（f=39.61 Hz）；</w:t>
            </w:r>
            <w:r>
              <w:rPr>
                <w:rFonts w:ascii="Consolas" w:hAnsi="Consolas" w:eastAsia="等线"/>
                <w:sz w:val="16"/>
              </w:rPr>
              <w:t>island_deenergized</w:t>
            </w:r>
            <w:r>
              <w:rPr>
                <w:rFonts w:ascii="Times New Roman" w:hAnsi="Times New Roman" w:eastAsia="宋体"/>
                <w:sz w:val="18"/>
              </w:rPr>
              <w:t>（2 条母线）</w:t>
            </w:r>
          </w:p>
        </w:tc>
        <w:tc>
          <w:tcPr>
            <w:tcW w:type="dxa" w:w="303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电压全线跌至 0.75–0.81 pu，频率崩溃</w:t>
            </w:r>
          </w:p>
        </w:tc>
      </w:tr>
      <w:tr>
        <w:tc>
          <w:tcPr>
            <w:tcW w:type="dxa" w:w="911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5464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island_deenergized</w:t>
            </w:r>
            <w:r>
              <w:rPr>
                <w:rFonts w:ascii="Times New Roman" w:hAnsi="Times New Roman" w:eastAsia="宋体"/>
                <w:sz w:val="18"/>
              </w:rPr>
              <w:t>（28 条母线）</w:t>
            </w:r>
          </w:p>
        </w:tc>
        <w:tc>
          <w:tcPr>
            <w:tcW w:type="dxa" w:w="3036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剩余系统解列失电，全网失效</w:t>
            </w:r>
          </w:p>
        </w:tc>
      </w:tr>
    </w:tbl>
    <w:p>
      <w:pPr>
        <w:spacing w:after="40"/>
      </w:pPr>
    </w:p>
    <w:p>
      <w:pPr>
        <w:spacing w:after="120" w:line="336" w:lineRule="auto"/>
      </w:pPr>
      <w:r>
        <w:rPr>
          <w:rFonts w:ascii="Times New Roman" w:hAnsi="Times New Roman" w:eastAsia="宋体"/>
          <w:b/>
          <w:sz w:val="21"/>
        </w:rPr>
        <w:t>两台机组的初始退出</w:t>
      </w:r>
      <w:r>
        <w:rPr>
          <w:rFonts w:ascii="Times New Roman" w:hAnsi="Times New Roman" w:eastAsia="宋体"/>
          <w:sz w:val="21"/>
        </w:rPr>
        <w:t xml:space="preserve">，通过保护与安控的正反馈切掉另外 4 台机组、跳过 3 条线路，最终 30/30 条母线失效、减载 189 MW。这条链完全由模型自行推演，没有任何人工指定的事件序列，逐阶段的 </w:t>
      </w:r>
      <w:r>
        <w:rPr>
          <w:rFonts w:ascii="Times New Roman" w:hAnsi="Times New Roman" w:eastAsia="宋体"/>
          <w:i/>
          <w:sz w:val="21"/>
        </w:rPr>
        <w:t>I_b</w:t>
      </w:r>
      <w:r>
        <w:rPr>
          <w:rFonts w:ascii="Times New Roman" w:hAnsi="Times New Roman" w:eastAsia="宋体"/>
          <w:sz w:val="21"/>
        </w:rPr>
        <w:t xml:space="preserve"> 都可逐条复算。</w:t>
      </w:r>
    </w:p>
    <w:p>
      <w:pPr>
        <w:keepNext/>
        <w:spacing w:before="280" w:after="100"/>
      </w:pPr>
      <w:r>
        <w:rPr>
          <w:rFonts w:ascii="Times New Roman" w:hAnsi="Times New Roman" w:eastAsia="宋体"/>
          <w:b/>
          <w:color w:val="1A1A1A"/>
          <w:sz w:val="30"/>
        </w:rPr>
        <w:t>4　讨论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4.1　机理链条：正反馈从哪里来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综合 §3.5–§3.10，机组退出导致母线失效的链条可归纳为三级正反馈：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电压级</w:t>
      </w:r>
      <w:r>
        <w:rPr>
          <w:rFonts w:ascii="Times New Roman" w:hAnsi="Times New Roman" w:eastAsia="宋体"/>
          <w:sz w:val="21"/>
        </w:rPr>
        <w:t>：机组退出带走无功支撑（</w:t>
      </w:r>
      <w:r>
        <w:rPr>
          <w:rFonts w:ascii="Times New Roman" w:hAnsi="Times New Roman" w:eastAsia="宋体"/>
          <w:i/>
          <w:sz w:val="21"/>
        </w:rPr>
        <w:t>Δ Q</w:t>
      </w:r>
      <w:r>
        <w:rPr>
          <w:rFonts w:ascii="Times New Roman" w:hAnsi="Times New Roman" w:eastAsia="宋体"/>
          <w:sz w:val="21"/>
        </w:rPr>
        <w:t xml:space="preserve"> 不会被再调度补足）→ 邻近母线电压下坠 → F1 生效；电压继续下坠则 UVLS 分级减载（F4），跌到 0.80 pu 以下则为 F2a。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潮流级</w:t>
      </w:r>
      <w:r>
        <w:rPr>
          <w:rFonts w:ascii="Times New Roman" w:hAnsi="Times New Roman" w:eastAsia="宋体"/>
          <w:sz w:val="21"/>
        </w:rPr>
        <w:t>：功率重新分配 → 支路载流率越 1.25 → 过载跳闸 → 网架削弱 → 潮流进一步向剩余通道集中，可触发第二轮过载。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频率级</w:t>
      </w:r>
      <w:r>
        <w:rPr>
          <w:rFonts w:ascii="Times New Roman" w:hAnsi="Times New Roman" w:eastAsia="宋体"/>
          <w:sz w:val="21"/>
        </w:rPr>
        <w:t xml:space="preserve">：有功缺额 + 惯量下降 → </w:t>
      </w:r>
      <w:r>
        <w:rPr>
          <w:rFonts w:ascii="Times New Roman" w:hAnsi="Times New Roman" w:eastAsia="宋体"/>
          <w:i/>
          <w:sz w:val="21"/>
        </w:rPr>
        <w:t>f_nadir</w:t>
      </w:r>
      <w:r>
        <w:rPr>
          <w:rFonts w:ascii="Times New Roman" w:hAnsi="Times New Roman" w:eastAsia="宋体"/>
          <w:sz w:val="21"/>
        </w:rPr>
        <w:t xml:space="preserve"> 跌破 57.5 Hz → 机组低频跳机 → 缺额继续扩大 → UFLS 动作；若解列为无源孤岛则为 F3。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三级反馈通过“机组退出 → 无功率支撑 → 电压/频率恶化 → 更多机组退出”闭合，这也是为什么</w:t>
      </w:r>
      <w:r>
        <w:rPr>
          <w:rFonts w:ascii="Times New Roman" w:hAnsi="Times New Roman" w:eastAsia="宋体"/>
          <w:b/>
          <w:sz w:val="21"/>
        </w:rPr>
        <w:t>初始退出机组数 $k$ 是风险的主导变量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 xml:space="preserve"> 越大，三个反馈同时被激发的概率越高。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4.2　为什么危害由位置而非容量决定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G@22 只有 21.6 MW 有功出力，却致 10 / 14 条母线失效；G@1（</w:t>
      </w:r>
      <w:r>
        <w:rPr>
          <w:rFonts w:ascii="Times New Roman" w:hAnsi="Times New Roman" w:eastAsia="宋体"/>
          <w:i/>
          <w:sz w:val="21"/>
        </w:rPr>
        <w:t>P_max</w:t>
      </w:r>
      <w:r>
        <w:rPr>
          <w:rFonts w:ascii="Times New Roman" w:hAnsi="Times New Roman" w:eastAsia="宋体"/>
          <w:sz w:val="21"/>
        </w:rPr>
        <w:t>=80 MW）致 0 条。解释在于基态无功分工：G@22 承担 +39.6 Mvar（全网最大），退出后这批无功无人替代；G@1 基态无功为 −1.0 Mvar（不进相），退出后对电压分布几乎无影响。但 G@2（+32.0 Mvar）只致 0 / 5 条，说明单看无功出力也不充分——</w:t>
      </w:r>
      <w:r>
        <w:rPr>
          <w:rFonts w:ascii="Times New Roman" w:hAnsi="Times New Roman" w:eastAsia="宋体"/>
          <w:b/>
          <w:sz w:val="21"/>
        </w:rPr>
        <w:t>位置（与哪些弱节点的电气距离）才是最终决定因素</w:t>
      </w:r>
      <w:r>
        <w:rPr>
          <w:rFonts w:ascii="Times New Roman" w:hAnsi="Times New Roman" w:eastAsia="宋体"/>
          <w:sz w:val="21"/>
        </w:rPr>
        <w:t>，而这一点只能通过逐机组仿真得到，无法用容量或单一灵敏度指标解析给出。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4.3　工程含义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N-1 筛查的结论不可外推到 N-2</w:t>
      </w:r>
      <w:r>
        <w:rPr>
          <w:rFonts w:ascii="Times New Roman" w:hAnsi="Times New Roman" w:eastAsia="宋体"/>
          <w:sz w:val="21"/>
        </w:rPr>
        <w:t xml:space="preserve">：两个运行点上 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 xml:space="preserve">=1 与 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>=2 的排序 Spearman 只有 0.768 / 0.813，top-5 重合 3/5。若只能做 N-1，就要明确声明其适用边界。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预警锚点与加固对象不是同一批母线</w:t>
      </w:r>
      <w:r>
        <w:rPr>
          <w:rFonts w:ascii="Times New Roman" w:hAnsi="Times New Roman" w:eastAsia="宋体"/>
          <w:sz w:val="21"/>
        </w:rPr>
        <w:t>：早发母线（</w:t>
      </w:r>
      <w:r>
        <w:rPr>
          <w:rFonts w:ascii="Times New Roman" w:hAnsi="Times New Roman" w:eastAsia="宋体"/>
          <w:i/>
          <w:sz w:val="21"/>
        </w:rPr>
        <w:t>τ_b</w:t>
      </w:r>
      <w:r>
        <w:rPr>
          <w:rFonts w:ascii="Times New Roman" w:hAnsi="Times New Roman" w:eastAsia="宋体"/>
          <w:sz w:val="21"/>
        </w:rPr>
        <w:t xml:space="preserve"> 小）适合做在线预警的观察点，高危母线（</w:t>
      </w:r>
      <w:r>
        <w:rPr>
          <w:rFonts w:ascii="Times New Roman" w:hAnsi="Times New Roman" w:eastAsia="宋体"/>
          <w:i/>
          <w:sz w:val="21"/>
        </w:rPr>
        <w:t>R_b</w:t>
      </w:r>
      <w:r>
        <w:rPr>
          <w:rFonts w:ascii="Times New Roman" w:hAnsi="Times New Roman" w:eastAsia="宋体"/>
          <w:sz w:val="21"/>
        </w:rPr>
        <w:t xml:space="preserve"> 大）才是加固与备用配置的对象，</w:t>
      </w:r>
      <w:r>
        <w:rPr>
          <w:rFonts w:ascii="Times New Roman" w:hAnsi="Times New Roman" w:eastAsia="宋体"/>
          <w:i/>
          <w:sz w:val="21"/>
        </w:rPr>
        <w:t>τ_b</w:t>
      </w:r>
      <w:r>
        <w:rPr>
          <w:rFonts w:ascii="Times New Roman" w:hAnsi="Times New Roman" w:eastAsia="宋体"/>
          <w:sz w:val="21"/>
        </w:rPr>
        <w:t xml:space="preserve"> 与后果的相关性仅 0.59 / 0.27。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低惯量是放大器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Times New Roman" w:hAnsi="Times New Roman" w:eastAsia="宋体"/>
          <w:i/>
          <w:sz w:val="21"/>
        </w:rPr>
        <w:t>H</w:t>
      </w:r>
      <w:r>
        <w:rPr>
          <w:rFonts w:ascii="Times New Roman" w:hAnsi="Times New Roman" w:eastAsia="宋体"/>
          <w:sz w:val="21"/>
        </w:rPr>
        <w:t xml:space="preserve"> 从 5.0 s 降到 3.0 s，BFI(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>=2) 上升 23%、BFI(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>=3) 上升 11%，且高负荷下更明显——这与 IBR 渗透率提高后的系统趋势一致。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安控是双刃的</w:t>
      </w:r>
      <w:r>
        <w:rPr>
          <w:rFonts w:ascii="Times New Roman" w:hAnsi="Times New Roman" w:eastAsia="宋体"/>
          <w:sz w:val="21"/>
        </w:rPr>
        <w:t>：UVLS 既限制电压崩溃（减少 F2a），其减载又构成失负荷后果（F4）；因此指标必须把“失效”与“后果”分开计量。</w:t>
      </w:r>
    </w:p>
    <w:p>
      <w:pPr>
        <w:keepNext/>
        <w:spacing w:before="200" w:after="100"/>
      </w:pPr>
      <w:r>
        <w:rPr>
          <w:rFonts w:ascii="Times New Roman" w:hAnsi="Times New Roman" w:eastAsia="宋体"/>
          <w:b/>
          <w:color w:val="1A1A1A"/>
          <w:sz w:val="25"/>
        </w:rPr>
        <w:t>4.4　方法的已知局限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准稳态</w:t>
      </w:r>
      <w:r>
        <w:rPr>
          <w:rFonts w:ascii="Times New Roman" w:hAnsi="Times New Roman" w:eastAsia="宋体"/>
          <w:sz w:val="21"/>
        </w:rPr>
        <w:t>：忽略暂态功角摇摆与暂态电压过程，对“首摆失稳”型级联可能低估或错判。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保护静态化</w:t>
      </w:r>
      <w:r>
        <w:rPr>
          <w:rFonts w:ascii="Times New Roman" w:hAnsi="Times New Roman" w:eastAsia="宋体"/>
          <w:sz w:val="21"/>
        </w:rPr>
        <w:t>：保护按阈值瞬时判定，未建模延时、配合关系、CT 饱和与隐藏故障的时间相关性。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SFR 单质块</w:t>
      </w:r>
      <w:r>
        <w:rPr>
          <w:rFonts w:ascii="Times New Roman" w:hAnsi="Times New Roman" w:eastAsia="宋体"/>
          <w:sz w:val="21"/>
        </w:rPr>
        <w:t>：不适用于多区域振荡模式；高比例 IBR 场景需加入虚拟惯量与频率支撑环节。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权重的主观性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Times New Roman" w:hAnsi="Times New Roman" w:eastAsia="宋体"/>
          <w:i/>
          <w:sz w:val="21"/>
        </w:rPr>
        <w:t>w_s</w:t>
      </w:r>
      <w:r>
        <w:rPr>
          <w:rFonts w:ascii="Times New Roman" w:hAnsi="Times New Roman" w:eastAsia="宋体"/>
          <w:sz w:val="21"/>
        </w:rPr>
        <w:t xml:space="preserve"> 取决于 </w:t>
      </w:r>
      <w:r>
        <w:rPr>
          <w:rFonts w:ascii="Times New Roman" w:hAnsi="Times New Roman" w:eastAsia="宋体"/>
          <w:i/>
          <w:sz w:val="21"/>
        </w:rPr>
        <w:t>λ_g=0.10</w:t>
      </w:r>
      <w:r>
        <w:rPr>
          <w:rFonts w:ascii="Times New Roman" w:hAnsi="Times New Roman" w:eastAsia="宋体"/>
          <w:sz w:val="21"/>
        </w:rPr>
        <w:t xml:space="preserve"> 次/年的假设，必须在文中显式声明并做灵敏度。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严重度权重的经验性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Times New Roman" w:hAnsi="Times New Roman" w:eastAsia="宋体"/>
          <w:i/>
          <w:sz w:val="21"/>
        </w:rPr>
        <w:t>S_b</w:t>
      </w:r>
      <w:r>
        <w:rPr>
          <w:rFonts w:ascii="Times New Roman" w:hAnsi="Times New Roman" w:eastAsia="宋体"/>
          <w:sz w:val="21"/>
        </w:rPr>
        <w:t xml:space="preserve"> 的 0.35/0.15/0.25/0.25 为工程折中，换权重会改变 </w:t>
      </w:r>
      <w:r>
        <w:rPr>
          <w:rFonts w:ascii="Times New Roman" w:hAnsi="Times New Roman" w:eastAsia="宋体"/>
          <w:i/>
          <w:sz w:val="21"/>
        </w:rPr>
        <w:t>R_b</w:t>
      </w:r>
      <w:r>
        <w:rPr>
          <w:rFonts w:ascii="Times New Roman" w:hAnsi="Times New Roman" w:eastAsia="宋体"/>
          <w:sz w:val="21"/>
        </w:rPr>
        <w:t xml:space="preserve"> 的绝对值（但本算例中改变有限）。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算例规模（最大局限）</w:t>
      </w:r>
      <w:r>
        <w:rPr>
          <w:rFonts w:ascii="Times New Roman" w:hAnsi="Times New Roman" w:eastAsia="宋体"/>
          <w:sz w:val="21"/>
        </w:rPr>
        <w:t>：IEEE 30 仅 6 机组，N-1 只有 6 个场景、N-2 只有 15 个。Spearman 0.768/0.813 与跃变比 5.74× 都是</w:t>
      </w:r>
      <w:r>
        <w:rPr>
          <w:rFonts w:ascii="Times New Roman" w:hAnsi="Times New Roman" w:eastAsia="宋体"/>
          <w:b/>
          <w:sz w:val="21"/>
        </w:rPr>
        <w:t>小样本点估计，未评估置信区间</w:t>
      </w:r>
      <w:r>
        <w:rPr>
          <w:rFonts w:ascii="Times New Roman" w:hAnsi="Times New Roman" w:eastAsia="宋体"/>
          <w:sz w:val="21"/>
        </w:rPr>
        <w:t>，结论应表述为“在该算例上成立的机理与量级”，不应推广为普适定律。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7. </w:t>
      </w:r>
      <w:r>
        <w:rPr>
          <w:rFonts w:ascii="Times New Roman" w:hAnsi="Times New Roman" w:eastAsia="宋体"/>
          <w:b/>
          <w:sz w:val="21"/>
        </w:rPr>
        <w:t>数据自洽性</w:t>
      </w:r>
      <w:r>
        <w:rPr>
          <w:rFonts w:ascii="Times New Roman" w:hAnsi="Times New Roman" w:eastAsia="宋体"/>
          <w:sz w:val="21"/>
        </w:rPr>
        <w:t xml:space="preserve">：主算例无 </w:t>
      </w:r>
      <w:r>
        <w:rPr>
          <w:rFonts w:ascii="Times New Roman" w:hAnsi="Times New Roman" w:eastAsia="宋体"/>
          <w:i/>
          <w:sz w:val="21"/>
        </w:rPr>
        <w:t>P_g&gt;P_max</w:t>
      </w:r>
      <w:r>
        <w:rPr>
          <w:rFonts w:ascii="Times New Roman" w:hAnsi="Times New Roman" w:eastAsia="宋体"/>
          <w:sz w:val="21"/>
        </w:rPr>
        <w:t>、无 Q/V 越限；若换到不自洽的算例（如 IEEE 39），须先做数据审计，否则“无级联区”可能完全是补量假设的产物。</w:t>
      </w:r>
    </w:p>
    <w:p>
      <w:pPr>
        <w:keepNext/>
        <w:spacing w:before="280" w:after="100"/>
      </w:pPr>
      <w:r>
        <w:rPr>
          <w:rFonts w:ascii="Times New Roman" w:hAnsi="Times New Roman" w:eastAsia="宋体"/>
          <w:b/>
          <w:color w:val="1A1A1A"/>
          <w:sz w:val="30"/>
        </w:rPr>
        <w:t>5　结论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sz w:val="21"/>
        </w:rPr>
        <w:t xml:space="preserve">本方法把“母线失效”分解为 F1/F2a/F2b/F3 四级状态判据与 F4 级后果量，得到可逐阶段复算的失效指示 </w:t>
      </w:r>
      <w:r>
        <w:rPr>
          <w:rFonts w:ascii="Times New Roman" w:hAnsi="Times New Roman" w:eastAsia="宋体"/>
          <w:i/>
          <w:sz w:val="21"/>
        </w:rPr>
        <w:t>I_b</w:t>
      </w:r>
      <w:r>
        <w:rPr>
          <w:rFonts w:ascii="Times New Roman" w:hAnsi="Times New Roman" w:eastAsia="宋体"/>
          <w:sz w:val="21"/>
        </w:rPr>
        <w:t xml:space="preserve"> 与可跨场景聚合的 </w:t>
      </w:r>
      <w:r>
        <w:rPr>
          <w:rFonts w:ascii="Times New Roman" w:hAnsi="Times New Roman" w:eastAsia="宋体"/>
          <w:i/>
          <w:sz w:val="21"/>
        </w:rPr>
        <w:t>P_b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Times New Roman" w:hAnsi="Times New Roman" w:eastAsia="宋体"/>
          <w:i/>
          <w:sz w:val="21"/>
        </w:rPr>
        <w:t>R_b</w:t>
      </w:r>
      <w:r>
        <w:rPr>
          <w:rFonts w:ascii="Times New Roman" w:hAnsi="Times New Roman" w:eastAsia="宋体"/>
          <w:sz w:val="21"/>
        </w:rPr>
        <w:t>、BFI，在 IEEE 30 上完全跑通（41 场景 × 5 参数集 × 2 运行点，一条命令约 35 s 复现）。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sz w:val="21"/>
        </w:rPr>
        <w:t>机组退出对母线失效的影响具有</w:t>
      </w:r>
      <w:r>
        <w:rPr>
          <w:rFonts w:ascii="Times New Roman" w:hAnsi="Times New Roman" w:eastAsia="宋体"/>
          <w:b/>
          <w:sz w:val="21"/>
        </w:rPr>
        <w:t>强非线性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>=1→2 时 BFI 放大 5.74×（低负荷）与 2.54×（高负荷），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>=3 时接近饱和（0.80 以上）。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关键母线排序在场景阶数与运行点之间都不稳定</w:t>
      </w:r>
      <w:r>
        <w:rPr>
          <w:rFonts w:ascii="Times New Roman" w:hAnsi="Times New Roman" w:eastAsia="宋体"/>
          <w:sz w:val="21"/>
        </w:rPr>
        <w:t>（Spearman 0.63–0.91，top-5 重合 2–4/5），N-1 筛查不能替代 N-2。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机组危害由接入位置与无功支撑作用决定，与容量无关</w:t>
      </w:r>
      <w:r>
        <w:rPr>
          <w:rFonts w:ascii="Times New Roman" w:hAnsi="Times New Roman" w:eastAsia="宋体"/>
          <w:sz w:val="21"/>
        </w:rPr>
        <w:t>：G@22（21.6 MW）致 10/14 条，G@1（</w:t>
      </w:r>
      <w:r>
        <w:rPr>
          <w:rFonts w:ascii="Times New Roman" w:hAnsi="Times New Roman" w:eastAsia="宋体"/>
          <w:i/>
          <w:sz w:val="21"/>
        </w:rPr>
        <w:t>P_max</w:t>
      </w:r>
      <w:r>
        <w:rPr>
          <w:rFonts w:ascii="Times New Roman" w:hAnsi="Times New Roman" w:eastAsia="宋体"/>
          <w:sz w:val="21"/>
        </w:rPr>
        <w:t>=80 MW）致 0 条。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机理以电压型为主，拓扑型次之，潮流无解型在本算例为零</w:t>
      </w:r>
      <w:r>
        <w:rPr>
          <w:rFonts w:ascii="Times New Roman" w:hAnsi="Times New Roman" w:eastAsia="宋体"/>
          <w:sz w:val="21"/>
        </w:rPr>
        <w:t>（F1 97%/96%，F3 37%/29%，F2b 0%），故“母线失效”不能只用潮流收敛性定义。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6. </w:t>
      </w:r>
      <w:r>
        <w:rPr>
          <w:rFonts w:ascii="Times New Roman" w:hAnsi="Times New Roman" w:eastAsia="宋体"/>
          <w:sz w:val="21"/>
        </w:rPr>
        <w:t>端到端闭环成立：两台机组退出即可经 5 个阶段把 30/30 条母线推向失效（减载 189 MW / 265 MW），说明该链条在工程规模上是可发生、可解释、可复算的。</w:t>
      </w:r>
    </w:p>
    <w:p>
      <w:pPr>
        <w:keepNext/>
        <w:spacing w:before="280" w:after="100"/>
      </w:pPr>
      <w:r>
        <w:rPr>
          <w:rFonts w:ascii="Times New Roman" w:hAnsi="Times New Roman" w:eastAsia="宋体"/>
          <w:b/>
          <w:color w:val="1A1A1A"/>
          <w:sz w:val="30"/>
        </w:rPr>
        <w:t>附录 A　符号表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A1　主要符号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54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符号</w:t>
            </w:r>
          </w:p>
        </w:tc>
        <w:tc>
          <w:tcPr>
            <w:tcW w:type="dxa" w:w="7557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18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k</w:t>
            </w:r>
          </w:p>
        </w:tc>
        <w:tc>
          <w:tcPr>
            <w:tcW w:type="dxa" w:w="755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同时退出的机组数（N-</w:t>
            </w:r>
            <w:r>
              <w:rPr>
                <w:rFonts w:ascii="Times New Roman" w:hAnsi="Times New Roman" w:eastAsia="宋体"/>
                <w:i/>
                <w:sz w:val="18"/>
              </w:rPr>
              <w:t>k</w:t>
            </w:r>
            <w:r>
              <w:rPr>
                <w:rFonts w:ascii="Times New Roman" w:hAnsi="Times New Roman" w:eastAsia="宋体"/>
                <w:sz w:val="18"/>
              </w:rPr>
              <w:t xml:space="preserve"> 场景阶数）</w:t>
            </w:r>
          </w:p>
        </w:tc>
      </w:tr>
      <w:tr>
        <w:tc>
          <w:tcPr>
            <w:tcW w:type="dxa" w:w="18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S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i/>
                <w:sz w:val="18"/>
              </w:rPr>
              <w:t>|S|</w:t>
            </w:r>
          </w:p>
        </w:tc>
        <w:tc>
          <w:tcPr>
            <w:tcW w:type="dxa" w:w="755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场景集 / 场景数（每运行点 41）</w:t>
            </w:r>
          </w:p>
        </w:tc>
      </w:tr>
      <w:tr>
        <w:tc>
          <w:tcPr>
            <w:tcW w:type="dxa" w:w="18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w_s</w:t>
            </w:r>
          </w:p>
        </w:tc>
        <w:tc>
          <w:tcPr>
            <w:tcW w:type="dxa" w:w="755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场景权重（状态概率口径，</w:t>
            </w:r>
            <w:r>
              <w:rPr>
                <w:rFonts w:ascii="Times New Roman" w:hAnsi="Times New Roman" w:eastAsia="宋体"/>
                <w:i/>
                <w:sz w:val="18"/>
              </w:rPr>
              <w:t>λ_g</w:t>
            </w:r>
            <w:r>
              <w:rPr>
                <w:rFonts w:ascii="Times New Roman" w:hAnsi="Times New Roman" w:eastAsia="宋体"/>
                <w:sz w:val="18"/>
              </w:rPr>
              <w:t>=0.10 次/年）</w:t>
            </w:r>
          </w:p>
        </w:tc>
      </w:tr>
      <w:tr>
        <w:tc>
          <w:tcPr>
            <w:tcW w:type="dxa" w:w="18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I_b(s)</w:t>
            </w:r>
          </w:p>
        </w:tc>
        <w:tc>
          <w:tcPr>
            <w:tcW w:type="dxa" w:w="755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母线 </w:t>
            </w:r>
            <w:r>
              <w:rPr>
                <w:rFonts w:ascii="Times New Roman" w:hAnsi="Times New Roman" w:eastAsia="宋体"/>
                <w:i/>
                <w:sz w:val="18"/>
              </w:rPr>
              <w:t>b</w:t>
            </w:r>
            <w:r>
              <w:rPr>
                <w:rFonts w:ascii="Times New Roman" w:hAnsi="Times New Roman" w:eastAsia="宋体"/>
                <w:sz w:val="18"/>
              </w:rPr>
              <w:t xml:space="preserve"> 在场景 </w:t>
            </w:r>
            <w:r>
              <w:rPr>
                <w:rFonts w:ascii="Times New Roman" w:hAnsi="Times New Roman" w:eastAsia="宋体"/>
                <w:i/>
                <w:sz w:val="18"/>
              </w:rPr>
              <w:t>s</w:t>
            </w:r>
            <w:r>
              <w:rPr>
                <w:rFonts w:ascii="Times New Roman" w:hAnsi="Times New Roman" w:eastAsia="宋体"/>
                <w:sz w:val="18"/>
              </w:rPr>
              <w:t xml:space="preserve"> 中的失效指示（0/1）</w:t>
            </w:r>
          </w:p>
        </w:tc>
      </w:tr>
      <w:tr>
        <w:tc>
          <w:tcPr>
            <w:tcW w:type="dxa" w:w="18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ℓ_b(s)</w:t>
            </w:r>
          </w:p>
        </w:tc>
        <w:tc>
          <w:tcPr>
            <w:tcW w:type="dxa" w:w="755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 xml:space="preserve">母线 </w:t>
            </w:r>
            <w:r>
              <w:rPr>
                <w:rFonts w:ascii="Times New Roman" w:hAnsi="Times New Roman" w:eastAsia="宋体"/>
                <w:i/>
                <w:sz w:val="18"/>
              </w:rPr>
              <w:t>b</w:t>
            </w:r>
            <w:r>
              <w:rPr>
                <w:rFonts w:ascii="Times New Roman" w:hAnsi="Times New Roman" w:eastAsia="宋体"/>
                <w:sz w:val="18"/>
              </w:rPr>
              <w:t xml:space="preserve"> 的失负荷率（自身减载量 / 自身初始负荷）</w:t>
            </w:r>
          </w:p>
        </w:tc>
      </w:tr>
      <w:tr>
        <w:tc>
          <w:tcPr>
            <w:tcW w:type="dxa" w:w="18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S_b(s)</w:t>
            </w:r>
          </w:p>
        </w:tc>
        <w:tc>
          <w:tcPr>
            <w:tcW w:type="dxa" w:w="755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母线严重度（0.35 越限 + 0.15 崩溃 + 0.25 失电 + 0.25 失负荷）</w:t>
            </w:r>
          </w:p>
        </w:tc>
      </w:tr>
      <w:tr>
        <w:tc>
          <w:tcPr>
            <w:tcW w:type="dxa" w:w="18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P_b</w:t>
            </w:r>
            <w:r>
              <w:rPr>
                <w:rFonts w:ascii="Times New Roman" w:hAnsi="Times New Roman" w:eastAsia="宋体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i/>
                <w:sz w:val="18"/>
              </w:rPr>
              <w:t>R_b</w:t>
            </w:r>
          </w:p>
        </w:tc>
        <w:tc>
          <w:tcPr>
            <w:tcW w:type="dxa" w:w="755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失效概率 / 期望风险</w:t>
            </w:r>
          </w:p>
        </w:tc>
      </w:tr>
      <w:tr>
        <w:tc>
          <w:tcPr>
            <w:tcW w:type="dxa" w:w="18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τ_b</w:t>
            </w:r>
          </w:p>
        </w:tc>
        <w:tc>
          <w:tcPr>
            <w:tcW w:type="dxa" w:w="755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平均首次失效阶段</w:t>
            </w:r>
          </w:p>
        </w:tc>
      </w:tr>
      <w:tr>
        <w:tc>
          <w:tcPr>
            <w:tcW w:type="dxa" w:w="18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BFI</w:t>
            </w:r>
          </w:p>
        </w:tc>
        <w:tc>
          <w:tcPr>
            <w:tcW w:type="dxa" w:w="755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母线失效指数（失效母线比例）</w:t>
            </w:r>
          </w:p>
        </w:tc>
      </w:tr>
      <w:tr>
        <w:tc>
          <w:tcPr>
            <w:tcW w:type="dxa" w:w="1854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i/>
                <w:sz w:val="18"/>
              </w:rPr>
              <w:t>λ</w:t>
            </w:r>
          </w:p>
        </w:tc>
        <w:tc>
          <w:tcPr>
            <w:tcW w:type="dxa" w:w="7557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负荷水平倍数（1.00 = 原生断面，1.40 = 加载断面）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rFonts w:ascii="Times New Roman" w:hAnsi="Times New Roman" w:eastAsia="宋体"/>
          <w:b/>
          <w:color w:val="1A1A1A"/>
          <w:sz w:val="30"/>
        </w:rPr>
        <w:t>附录 B　复现命令与产物对应</w:t>
      </w:r>
    </w:p>
    <w:p>
      <w:pPr>
        <w:spacing w:before="120" w:after="200" w:line="276" w:lineRule="auto"/>
        <w:ind w:left="113"/>
        <w:shd w:val="clear" w:color="auto" w:fill="F4F5F7"/>
      </w:pPr>
      <w:r>
        <w:rPr>
          <w:rFonts w:ascii="Consolas" w:hAnsi="Consolas" w:eastAsia="等线"/>
          <w:sz w:val="17"/>
        </w:rPr>
        <w:t># 全流程（约 35 s）</w:t>
        <w:br/>
      </w:r>
      <w:r>
        <w:rPr>
          <w:rFonts w:ascii="Consolas" w:hAnsi="Consolas" w:eastAsia="等线"/>
          <w:sz w:val="17"/>
        </w:rPr>
        <w:t>cd bus_failure_study &amp;&amp; ./run.sh all</w:t>
        <w:br/>
      </w:r>
      <w:r>
        <w:rPr>
          <w:rFonts w:ascii="Consolas" w:hAnsi="Consolas" w:eastAsia="等线"/>
          <w:sz w:val="17"/>
        </w:rPr>
        <w:br/>
      </w:r>
      <w:r>
        <w:rPr>
          <w:rFonts w:ascii="Consolas" w:hAnsi="Consolas" w:eastAsia="等线"/>
          <w:sz w:val="17"/>
        </w:rPr>
        <w:t># 单点复算：单机 / 双机闭环用例</w:t>
        <w:br/>
      </w:r>
      <w:r>
        <w:rPr>
          <w:rFonts w:ascii="Consolas" w:hAnsi="Consolas" w:eastAsia="等线"/>
          <w:sz w:val="17"/>
        </w:rPr>
        <w:t>cd bus_failure_study &amp;&amp; PYTHONPATH=src python3 -c "</w:t>
        <w:br/>
      </w:r>
      <w:r>
        <w:rPr>
          <w:rFonts w:ascii="Consolas" w:hAnsi="Consolas" w:eastAsia="等线"/>
          <w:sz w:val="17"/>
        </w:rPr>
        <w:t>import cases</w:t>
        <w:br/>
      </w:r>
      <w:r>
        <w:rPr>
          <w:rFonts w:ascii="Consolas" w:hAnsi="Consolas" w:eastAsia="等线"/>
          <w:sz w:val="17"/>
        </w:rPr>
        <w:t>from cascade import CascadeSim</w:t>
        <w:br/>
      </w:r>
      <w:r>
        <w:rPr>
          <w:rFonts w:ascii="Consolas" w:hAnsi="Consolas" w:eastAsia="等线"/>
          <w:sz w:val="17"/>
        </w:rPr>
        <w:t>sim = CascadeSim(case=cases.loader(), cfg=cases.cfg(), load_scale=1.0)</w:t>
        <w:br/>
      </w:r>
      <w:r>
        <w:rPr>
          <w:rFonts w:ascii="Consolas" w:hAnsi="Consolas" w:eastAsia="等线"/>
          <w:sz w:val="17"/>
        </w:rPr>
        <w:t>print(sim.run_scenario(gen_trip=[22]))       # 1 阶段 / 10 条失效</w:t>
        <w:br/>
      </w:r>
      <w:r>
        <w:rPr>
          <w:rFonts w:ascii="Consolas" w:hAnsi="Consolas" w:eastAsia="等线"/>
          <w:sz w:val="17"/>
        </w:rPr>
        <w:t>print(sim.run_scenario(gen_trip=[2, 13]))    # 5 阶段 / 30 条失效 / 189 MW"</w:t>
        <w:br/>
      </w:r>
      <w:r>
        <w:rPr>
          <w:rFonts w:ascii="Consolas" w:hAnsi="Consolas" w:eastAsia="等线"/>
          <w:sz w:val="17"/>
        </w:rPr>
        <w:br/>
      </w:r>
      <w:r>
        <w:rPr>
          <w:rFonts w:ascii="Consolas" w:hAnsi="Consolas" w:eastAsia="等线"/>
          <w:sz w:val="17"/>
        </w:rPr>
        <w:t># 基态潮流解（本报告 §3.5 的 Pg / Qg）</w:t>
        <w:br/>
      </w:r>
      <w:r>
        <w:rPr>
          <w:rFonts w:ascii="Consolas" w:hAnsi="Consolas" w:eastAsia="等线"/>
          <w:sz w:val="17"/>
        </w:rPr>
        <w:t>cd bus_failure_study &amp;&amp; PYTHONPATH=src python3 -c "</w:t>
        <w:br/>
      </w:r>
      <w:r>
        <w:rPr>
          <w:rFonts w:ascii="Consolas" w:hAnsi="Consolas" w:eastAsia="等线"/>
          <w:sz w:val="17"/>
        </w:rPr>
        <w:t>import cases; from cascade import solve_island</w:t>
        <w:br/>
      </w:r>
      <w:r>
        <w:rPr>
          <w:rFonts w:ascii="Consolas" w:hAnsi="Consolas" w:eastAsia="等线"/>
          <w:sz w:val="17"/>
        </w:rPr>
        <w:t>r = solve_island(cases.loader())[0]</w:t>
        <w:br/>
      </w:r>
      <w:r>
        <w:rPr>
          <w:rFonts w:ascii="Consolas" w:hAnsi="Consolas" w:eastAsia="等线"/>
          <w:sz w:val="17"/>
        </w:rPr>
        <w:t>[print(int(g[0]), round(g[1],1), round(g[2],1)) for g in r['gen']]"</w:t>
        <w:br/>
      </w:r>
      <w:r>
        <w:rPr>
          <w:rFonts w:ascii="Consolas" w:hAnsi="Consolas" w:eastAsia="等线"/>
          <w:sz w:val="17"/>
        </w:rPr>
        <w:br/>
      </w:r>
      <w:r>
        <w:rPr>
          <w:rFonts w:ascii="Consolas" w:hAnsi="Consolas" w:eastAsia="等线"/>
          <w:sz w:val="17"/>
        </w:rPr>
        <w:t># 依赖：numpy scipy matplotlib pandas pypower</w:t>
      </w:r>
    </w:p>
    <w:p>
      <w:pPr>
        <w:keepNext/>
        <w:spacing w:before="200" w:after="60"/>
      </w:pPr>
      <w:r>
        <w:rPr>
          <w:rFonts w:ascii="Times New Roman" w:hAnsi="Times New Roman" w:eastAsia="宋体"/>
          <w:b/>
          <w:sz w:val="18"/>
        </w:rPr>
      </w:r>
      <w:r>
        <w:rPr>
          <w:rFonts w:ascii="Times New Roman" w:hAnsi="Times New Roman" w:eastAsia="宋体"/>
          <w:b/>
          <w:sz w:val="18"/>
        </w:rPr>
        <w:t>表 B1　本报告图表 → 产物文件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39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图表</w:t>
            </w:r>
          </w:p>
        </w:tc>
        <w:tc>
          <w:tcPr>
            <w:tcW w:type="dxa" w:w="7272"/>
            <w:shd w:val="clear" w:color="auto" w:fill="EEF0F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  <w:t>文件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表 10、图 1</w:t>
            </w:r>
          </w:p>
        </w:tc>
        <w:tc>
          <w:tcPr>
            <w:tcW w:type="dxa" w:w="727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results/IEEE30/P3_regime/regime_table.csv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Consolas" w:hAnsi="Consolas" w:eastAsia="等线"/>
                <w:sz w:val="16"/>
              </w:rPr>
              <w:t>fig_regime.png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图 2 / 图 3</w:t>
            </w:r>
          </w:p>
        </w:tc>
        <w:tc>
          <w:tcPr>
            <w:tcW w:type="dxa" w:w="727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P3_regime/mc_lam1.00|1.40/fig_bfi_dist.png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图 4 / 图 5</w:t>
            </w:r>
          </w:p>
        </w:tc>
        <w:tc>
          <w:tcPr>
            <w:tcW w:type="dxa" w:w="727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P3_regime/mc_lam1.00|1.40/fig_Pfail_by_k.png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表 11</w:t>
            </w:r>
          </w:p>
        </w:tc>
        <w:tc>
          <w:tcPr>
            <w:tcW w:type="dxa" w:w="727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P3_regime/mc_lam1.00|1.40/bus_rank_stability.csv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图 6 / 图 7</w:t>
            </w:r>
          </w:p>
        </w:tc>
        <w:tc>
          <w:tcPr>
            <w:tcW w:type="dxa" w:w="727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P3_regime/mc_lam1.00|1.40/fig_Erisk_band.png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表 12</w:t>
            </w:r>
          </w:p>
        </w:tc>
        <w:tc>
          <w:tcPr>
            <w:tcW w:type="dxa" w:w="727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P3_regime/mc_lam1.00|1.40/tail_risk.csv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表 13</w:t>
            </w:r>
          </w:p>
        </w:tc>
        <w:tc>
          <w:tcPr>
            <w:tcW w:type="dxa" w:w="727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P3_regime/mc_lam1.00|1.40/ranking_consistency.csv</w:t>
            </w:r>
            <w:r>
              <w:rPr>
                <w:rFonts w:ascii="Times New Roman" w:hAnsi="Times New Roman" w:eastAsia="宋体"/>
                <w:sz w:val="18"/>
              </w:rPr>
              <w:t xml:space="preserve"> 与 </w:t>
            </w:r>
            <w:r>
              <w:rPr>
                <w:rFonts w:ascii="Consolas" w:hAnsi="Consolas" w:eastAsia="等线"/>
                <w:sz w:val="16"/>
              </w:rPr>
              <w:t>regime_consistency.csv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表 14、图 8</w:t>
            </w:r>
          </w:p>
        </w:tc>
        <w:tc>
          <w:tcPr>
            <w:tcW w:type="dxa" w:w="727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P4_causal/gen_bus_impact.csv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Consolas" w:hAnsi="Consolas" w:eastAsia="等线"/>
                <w:sz w:val="16"/>
              </w:rPr>
              <w:t>fig_gen_bus_matrix.png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表 15、图 9</w:t>
            </w:r>
          </w:p>
        </w:tc>
        <w:tc>
          <w:tcPr>
            <w:tcW w:type="dxa" w:w="727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P4_causal/fig_type_profile.png</w:t>
            </w:r>
            <w:r>
              <w:rPr>
                <w:rFonts w:ascii="Times New Roman" w:hAnsi="Times New Roman" w:eastAsia="宋体"/>
                <w:sz w:val="18"/>
              </w:rPr>
              <w:t xml:space="preserve">（参与率由 </w:t>
            </w:r>
            <w:r>
              <w:rPr>
                <w:rFonts w:ascii="Consolas" w:hAnsi="Consolas" w:eastAsia="等线"/>
                <w:sz w:val="16"/>
              </w:rPr>
              <w:t>bus_detail_failures.csv.gz</w:t>
            </w:r>
            <w:r>
              <w:rPr>
                <w:rFonts w:ascii="Times New Roman" w:hAnsi="Times New Roman" w:eastAsia="宋体"/>
                <w:sz w:val="18"/>
              </w:rPr>
              <w:t xml:space="preserve"> 汇总）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表 16、图 10</w:t>
            </w:r>
          </w:p>
        </w:tc>
        <w:tc>
          <w:tcPr>
            <w:tcW w:type="dxa" w:w="727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P4_causal/fig_propagation_speed.png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Consolas" w:hAnsi="Consolas" w:eastAsia="等线"/>
                <w:sz w:val="16"/>
              </w:rPr>
              <w:t>cascade_traces.csv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图 11</w:t>
            </w:r>
          </w:p>
        </w:tc>
        <w:tc>
          <w:tcPr>
            <w:tcW w:type="dxa" w:w="727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P4_causal/fig_onset_severity.png</w:t>
            </w:r>
            <w:r>
              <w:rPr>
                <w:rFonts w:ascii="Times New Roman" w:hAnsi="Times New Roman" w:eastAsia="宋体"/>
                <w:sz w:val="18"/>
              </w:rPr>
              <w:t>、</w:t>
            </w:r>
            <w:r>
              <w:rPr>
                <w:rFonts w:ascii="Consolas" w:hAnsi="Consolas" w:eastAsia="等线"/>
                <w:sz w:val="16"/>
              </w:rPr>
              <w:t>first_failure.csv</w:t>
            </w:r>
          </w:p>
        </w:tc>
      </w:tr>
      <w:tr>
        <w:tc>
          <w:tcPr>
            <w:tcW w:type="dxa" w:w="2139"/>
          </w:tcPr>
          <w:p>
            <w:pPr>
              <w:spacing w:after="20" w:line="276" w:lineRule="auto"/>
            </w:pPr>
            <w:r>
              <w:rPr>
                <w:rFonts w:ascii="Times New Roman" w:hAnsi="Times New Roman" w:eastAsia="宋体"/>
                <w:sz w:val="18"/>
              </w:rPr>
              <w:t>图 12 / 图 13</w:t>
            </w:r>
          </w:p>
        </w:tc>
        <w:tc>
          <w:tcPr>
            <w:tcW w:type="dxa" w:w="7272"/>
          </w:tcPr>
          <w:p>
            <w:pPr>
              <w:spacing w:after="20" w:line="276" w:lineRule="auto"/>
            </w:pPr>
            <w:r>
              <w:rPr>
                <w:rFonts w:ascii="Consolas" w:hAnsi="Consolas" w:eastAsia="等线"/>
                <w:sz w:val="16"/>
              </w:rPr>
              <w:t>P4_causal/fig_swimlane_RegimeI|RegimeII.png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rFonts w:ascii="Times New Roman" w:hAnsi="Times New Roman" w:eastAsia="宋体"/>
          <w:b/>
          <w:color w:val="1A1A1A"/>
          <w:sz w:val="30"/>
        </w:rPr>
        <w:t>附录 C　已归档数值的说明</w:t>
      </w:r>
    </w:p>
    <w:p>
      <w:pPr>
        <w:spacing w:after="120" w:line="336" w:lineRule="auto"/>
      </w:pPr>
      <w:r>
        <w:rPr>
          <w:rFonts w:ascii="Times New Roman" w:hAnsi="Times New Roman" w:eastAsia="宋体"/>
          <w:sz w:val="21"/>
        </w:rPr>
        <w:t>以下数值来自后续从主线移除的扫描脚本，</w:t>
      </w:r>
      <w:r>
        <w:rPr>
          <w:rFonts w:ascii="Times New Roman" w:hAnsi="Times New Roman" w:eastAsia="宋体"/>
          <w:b/>
          <w:sz w:val="21"/>
        </w:rPr>
        <w:t>本轮已不可复跑</w:t>
      </w:r>
      <w:r>
        <w:rPr>
          <w:rFonts w:ascii="Times New Roman" w:hAnsi="Times New Roman" w:eastAsia="宋体"/>
          <w:sz w:val="21"/>
        </w:rPr>
        <w:t>，仅作为历史结论保留，论文引用时须注明来源或重写脚本：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失稳阈值 $\lambda^*=1.048$</w:t>
      </w:r>
      <w:r>
        <w:rPr>
          <w:rFonts w:ascii="Times New Roman" w:hAnsi="Times New Roman" w:eastAsia="宋体"/>
          <w:sz w:val="21"/>
        </w:rPr>
        <w:t>：BFI(</w:t>
      </w:r>
      <w:r>
        <w:rPr>
          <w:rFonts w:ascii="Times New Roman" w:hAnsi="Times New Roman" w:eastAsia="宋体"/>
          <w:i/>
          <w:sz w:val="21"/>
        </w:rPr>
        <w:t>k</w:t>
      </w:r>
      <w:r>
        <w:rPr>
          <w:rFonts w:ascii="Times New Roman" w:hAnsi="Times New Roman" w:eastAsia="宋体"/>
          <w:sz w:val="21"/>
        </w:rPr>
        <w:t>=1) 首次越过 0.10 的负荷比例（二分定位）。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UVLS 轮次灵敏度</w:t>
      </w:r>
      <w:r>
        <w:rPr>
          <w:rFonts w:ascii="Times New Roman" w:hAnsi="Times New Roman" w:eastAsia="宋体"/>
          <w:sz w:val="21"/>
        </w:rPr>
        <w:t>：轮次上限取 1–4 时，9 个负荷点上的 BFI 差异 &lt;0.01，即结论对安控轮次不敏感。该结论在主线的 5 组参数集扫描中也得到印证（表 12 中 P5_uvls1 与 P1_base 几乎相同）。</w:t>
      </w:r>
    </w:p>
    <w:p>
      <w:pPr>
        <w:spacing w:after="80" w:line="336" w:lineRule="auto"/>
        <w:ind w:left="425" w:hanging="312"/>
      </w:pPr>
      <w:r>
        <w:rPr>
          <w:rFonts w:ascii="Times New Roman" w:hAnsi="Times New Roman" w:eastAsia="宋体"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备用口径 A/B 零敏感</w:t>
      </w:r>
      <w:r>
        <w:rPr>
          <w:rFonts w:ascii="Times New Roman" w:hAnsi="Times New Roman" w:eastAsia="宋体"/>
          <w:sz w:val="21"/>
        </w:rPr>
        <w:t>：IEEE 30 上两种口径给出逐位相同的 BFI（0.0778 / 0.1111 / 0.1278 …），用于支撑 §2.6 的算例选择。</w:t>
      </w:r>
    </w:p>
    <w:sectPr w:rsidR="00FC693F" w:rsidRPr="0006063C" w:rsidSect="00034616">
      <w:footerReference w:type="default" r:id="rId22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C5C5C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