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F482C">
      <w:pPr>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Dear </w:t>
      </w:r>
      <w:r>
        <w:rPr>
          <w:rFonts w:hint="default" w:ascii="Times New Roman" w:hAnsi="Times New Roman" w:cs="Times New Roman"/>
          <w:sz w:val="24"/>
          <w:szCs w:val="24"/>
        </w:rPr>
        <w:t>Editor</w:t>
      </w:r>
      <w:r>
        <w:rPr>
          <w:rFonts w:hint="eastAsia" w:ascii="Times New Roman" w:hAnsi="Times New Roman" w:cs="Times New Roman"/>
          <w:sz w:val="24"/>
          <w:szCs w:val="24"/>
          <w:lang w:val="en-US" w:eastAsia="zh-CN"/>
        </w:rPr>
        <w:t>,</w:t>
      </w:r>
    </w:p>
    <w:p w14:paraId="0F7FFCEA">
      <w:pPr>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cs="Times New Roman"/>
          <w:sz w:val="24"/>
          <w:szCs w:val="24"/>
          <w:lang w:val="en-US" w:eastAsia="zh-CN"/>
        </w:rPr>
      </w:pPr>
    </w:p>
    <w:p w14:paraId="45A7C4F3">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We sincerely appreciate you and the two anonymous reviewers for devoting your valuable time to reviewing our manuscript (Manuscript ID: FEM-2026-0130, Title: </w:t>
      </w:r>
      <w:r>
        <w:rPr>
          <w:rFonts w:hint="eastAsia" w:ascii="Georgia" w:hAnsi="Georgia" w:eastAsia="等线" w:cs="Times New Roman"/>
          <w:b/>
          <w:bCs/>
          <w:i/>
          <w:iCs/>
          <w:sz w:val="24"/>
          <w:szCs w:val="24"/>
          <w:lang w:val="en-US" w:eastAsia="zh-CN"/>
        </w:rPr>
        <w:t>Proactive Resilience of Urban Water Supply Cyber-Physical Systems under Extreme Water Network Malfunctions: An Early Warning Perspective</w:t>
      </w:r>
      <w:r>
        <w:rPr>
          <w:rFonts w:hint="eastAsia" w:ascii="Times New Roman" w:hAnsi="Times New Roman" w:cs="Times New Roman"/>
          <w:sz w:val="24"/>
          <w:szCs w:val="24"/>
          <w:lang w:val="en-US" w:eastAsia="zh-CN"/>
        </w:rPr>
        <w:t>). We highly recognize the detailed, rigorous and constructive comments raised by the editorial office and reviewers, which greatly help us identify the defects in methodology, mechanism interpretation, data comparison, result explanation and paper standardization of our original manuscript, and significantly improve the scientificity, transparency and completeness of this work.</w:t>
      </w:r>
    </w:p>
    <w:p w14:paraId="431828A8">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p>
    <w:p w14:paraId="519AFF9C">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response to all the concerns and suggestions put forward by the editor and reviewers, we have carried out comprehensive and substantial revisions to the whole manuscript. All modified contents in the revised manuscript are highlighted in red for easy checking. We have also prepared a point-by-point detailed response document, which restates each comment in italics and presents our corresponding revisions, supplementary analysis and supplementary experimental explanations one by one.</w:t>
      </w:r>
    </w:p>
    <w:p w14:paraId="4F6B4E41">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p>
    <w:p w14:paraId="6CA1574B">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After a full revision, we believe that all the critical issues raised in the review comments have been fully addressed and supplemented. We hereby resubmit the revised manuscript and the response to reviewers, and sincerely hope that the revised version can meet the publication standards of </w:t>
      </w:r>
      <w:r>
        <w:rPr>
          <w:rFonts w:hint="eastAsia" w:ascii="Georgia" w:hAnsi="Georgia" w:eastAsia="等线" w:cs="Times New Roman"/>
          <w:b/>
          <w:bCs/>
          <w:i/>
          <w:iCs/>
          <w:sz w:val="24"/>
          <w:szCs w:val="24"/>
          <w:lang w:val="en-US" w:eastAsia="zh-CN"/>
        </w:rPr>
        <w:t>ENGINEERING Management.</w:t>
      </w:r>
    </w:p>
    <w:p w14:paraId="3856B635">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p>
    <w:p w14:paraId="5FF1C23A">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Thank you again for your careful guidance and the reviewers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insightful suggestions. We look forward to your further reply.</w:t>
      </w:r>
    </w:p>
    <w:p w14:paraId="77807CD4">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cs="Times New Roman"/>
          <w:sz w:val="24"/>
          <w:szCs w:val="24"/>
          <w:lang w:val="en-US" w:eastAsia="zh-CN"/>
        </w:rPr>
      </w:pPr>
    </w:p>
    <w:p w14:paraId="31D32ACF">
      <w:pPr>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cs="Times New Roman"/>
          <w:sz w:val="24"/>
          <w:szCs w:val="24"/>
          <w:lang w:val="en-US" w:eastAsia="zh-CN"/>
        </w:rPr>
      </w:pPr>
    </w:p>
    <w:p w14:paraId="1AB9ECD5">
      <w:pPr>
        <w:jc w:val="left"/>
        <w:rPr>
          <w:rFonts w:hint="eastAsia" w:ascii="Times New Roman" w:hAnsi="Times New Roman" w:cs="Times New Roman"/>
          <w:sz w:val="24"/>
          <w:szCs w:val="24"/>
          <w:lang w:val="en-US" w:eastAsia="zh-CN"/>
        </w:rPr>
      </w:pPr>
    </w:p>
    <w:p w14:paraId="25E1E1EF">
      <w:pPr>
        <w:jc w:val="left"/>
        <w:rPr>
          <w:rFonts w:hint="eastAsia" w:ascii="Times New Roman" w:hAnsi="Times New Roman" w:cs="Times New Roman"/>
          <w:sz w:val="24"/>
          <w:szCs w:val="24"/>
          <w:lang w:val="en-US" w:eastAsia="zh-CN"/>
        </w:rPr>
      </w:pPr>
    </w:p>
    <w:p w14:paraId="0368507B">
      <w:pPr>
        <w:jc w:val="left"/>
        <w:rPr>
          <w:rFonts w:hint="eastAsia" w:ascii="Times New Roman" w:hAnsi="Times New Roman" w:cs="Times New Roman"/>
          <w:sz w:val="24"/>
          <w:szCs w:val="24"/>
          <w:lang w:val="en-US" w:eastAsia="zh-CN"/>
        </w:rPr>
      </w:pPr>
    </w:p>
    <w:p w14:paraId="10FB58E7">
      <w:pPr>
        <w:jc w:val="left"/>
        <w:rPr>
          <w:rFonts w:hint="eastAsia" w:ascii="Times New Roman" w:hAnsi="Times New Roman" w:cs="Times New Roman"/>
          <w:sz w:val="24"/>
          <w:szCs w:val="24"/>
          <w:lang w:val="en-US" w:eastAsia="zh-CN"/>
        </w:rPr>
      </w:pPr>
    </w:p>
    <w:p w14:paraId="52EB8AA7">
      <w:pPr>
        <w:jc w:val="left"/>
        <w:rPr>
          <w:rFonts w:hint="eastAsia" w:ascii="Times New Roman" w:hAnsi="Times New Roman" w:cs="Times New Roman"/>
          <w:sz w:val="24"/>
          <w:szCs w:val="24"/>
          <w:lang w:val="en-US" w:eastAsia="zh-CN"/>
        </w:rPr>
      </w:pPr>
    </w:p>
    <w:p w14:paraId="6F190422">
      <w:pPr>
        <w:jc w:val="left"/>
        <w:rPr>
          <w:rFonts w:hint="eastAsia" w:ascii="Times New Roman" w:hAnsi="Times New Roman" w:cs="Times New Roman"/>
          <w:sz w:val="24"/>
          <w:szCs w:val="24"/>
          <w:lang w:val="en-US" w:eastAsia="zh-CN"/>
        </w:rPr>
      </w:pPr>
    </w:p>
    <w:p w14:paraId="47A018F7">
      <w:pPr>
        <w:jc w:val="left"/>
        <w:rPr>
          <w:rFonts w:hint="eastAsia" w:ascii="Times New Roman" w:hAnsi="Times New Roman" w:cs="Times New Roman"/>
          <w:sz w:val="24"/>
          <w:szCs w:val="24"/>
          <w:lang w:val="en-US" w:eastAsia="zh-CN"/>
        </w:rPr>
      </w:pPr>
    </w:p>
    <w:p w14:paraId="7B612A9F">
      <w:pPr>
        <w:jc w:val="left"/>
        <w:rPr>
          <w:rFonts w:hint="eastAsia" w:ascii="Times New Roman" w:hAnsi="Times New Roman" w:cs="Times New Roman"/>
          <w:sz w:val="24"/>
          <w:szCs w:val="24"/>
          <w:lang w:val="en-US" w:eastAsia="zh-CN"/>
        </w:rPr>
      </w:pPr>
      <w:bookmarkStart w:id="0" w:name="_GoBack"/>
      <w:bookmarkEnd w:id="0"/>
    </w:p>
    <w:p w14:paraId="3A87B098">
      <w:pPr>
        <w:jc w:val="left"/>
        <w:rPr>
          <w:rFonts w:hint="eastAsia" w:ascii="Georgia" w:hAnsi="Georgia" w:eastAsia="等线" w:cs="Times New Roman"/>
          <w:b/>
          <w:bCs/>
          <w:i/>
          <w:iCs/>
          <w:sz w:val="24"/>
          <w:szCs w:val="24"/>
          <w:lang w:val="en-US" w:eastAsia="zh-CN"/>
        </w:rPr>
      </w:pPr>
    </w:p>
    <w:p w14:paraId="298E0D66">
      <w:pPr>
        <w:jc w:val="left"/>
        <w:rPr>
          <w:rFonts w:hint="eastAsia" w:ascii="Georgia" w:hAnsi="Georgia" w:eastAsia="等线" w:cs="Times New Roman"/>
          <w:b/>
          <w:bCs/>
          <w:i/>
          <w:iCs/>
          <w:sz w:val="24"/>
          <w:szCs w:val="24"/>
          <w:lang w:val="en-US" w:eastAsia="zh-CN"/>
        </w:rPr>
      </w:pPr>
    </w:p>
    <w:p w14:paraId="15B1A8F4">
      <w:pPr>
        <w:jc w:val="left"/>
        <w:rPr>
          <w:rFonts w:hint="eastAsia" w:ascii="Georgia" w:hAnsi="Georgia" w:eastAsia="等线" w:cs="Times New Roman"/>
          <w:b/>
          <w:bCs/>
          <w:i/>
          <w:iCs/>
          <w:sz w:val="24"/>
          <w:szCs w:val="24"/>
          <w:lang w:val="en-US" w:eastAsia="zh-CN"/>
        </w:rPr>
      </w:pPr>
    </w:p>
    <w:p w14:paraId="3882512E">
      <w:pPr>
        <w:jc w:val="left"/>
        <w:rPr>
          <w:rFonts w:hint="eastAsia" w:ascii="Georgia" w:hAnsi="Georgia" w:eastAsia="等线" w:cs="Times New Roman"/>
          <w:b/>
          <w:bCs/>
          <w:i/>
          <w:iCs/>
          <w:sz w:val="24"/>
          <w:szCs w:val="24"/>
          <w:lang w:val="en-US" w:eastAsia="zh-CN"/>
        </w:rPr>
      </w:pPr>
    </w:p>
    <w:p w14:paraId="27738652">
      <w:pPr>
        <w:jc w:val="left"/>
        <w:rPr>
          <w:rFonts w:hint="eastAsia" w:ascii="Georgia" w:hAnsi="Georgia" w:eastAsia="等线" w:cs="Times New Roman"/>
          <w:b/>
          <w:bCs/>
          <w:i/>
          <w:iCs/>
          <w:sz w:val="24"/>
          <w:szCs w:val="24"/>
          <w:lang w:val="en-US" w:eastAsia="zh-CN"/>
        </w:rPr>
      </w:pPr>
    </w:p>
    <w:p w14:paraId="23DD4B81">
      <w:pPr>
        <w:jc w:val="left"/>
        <w:rPr>
          <w:rFonts w:hint="eastAsia" w:ascii="Georgia" w:hAnsi="Georgia" w:eastAsia="等线" w:cs="Times New Roman"/>
          <w:b/>
          <w:bCs/>
          <w:i/>
          <w:iCs/>
          <w:sz w:val="24"/>
          <w:szCs w:val="24"/>
          <w:lang w:val="en-US" w:eastAsia="zh-CN"/>
        </w:rPr>
      </w:pPr>
    </w:p>
    <w:p w14:paraId="52F43422">
      <w:pPr>
        <w:jc w:val="left"/>
        <w:rPr>
          <w:rFonts w:hint="eastAsia" w:ascii="Georgia" w:hAnsi="Georgia" w:eastAsia="等线" w:cs="Times New Roman"/>
          <w:b/>
          <w:bCs/>
          <w:i/>
          <w:iCs/>
          <w:sz w:val="24"/>
          <w:szCs w:val="24"/>
          <w:lang w:val="en-US" w:eastAsia="zh-CN"/>
        </w:rPr>
      </w:pPr>
    </w:p>
    <w:p w14:paraId="54614738">
      <w:pPr>
        <w:jc w:val="left"/>
        <w:rPr>
          <w:rFonts w:hint="eastAsia" w:ascii="Georgia" w:hAnsi="Georgia" w:eastAsia="等线" w:cs="Times New Roman"/>
          <w:b/>
          <w:bCs/>
          <w:i/>
          <w:iCs/>
          <w:sz w:val="24"/>
          <w:szCs w:val="24"/>
          <w:lang w:val="en-US" w:eastAsia="zh-CN"/>
        </w:rPr>
      </w:pPr>
    </w:p>
    <w:p w14:paraId="15E5C5A4">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Georgia" w:hAnsi="Georgia" w:eastAsia="等线" w:cs="Times New Roman"/>
          <w:b/>
          <w:bCs/>
          <w:i/>
          <w:iCs/>
          <w:sz w:val="24"/>
          <w:szCs w:val="24"/>
          <w:lang w:val="en-US" w:eastAsia="zh-CN"/>
        </w:rPr>
      </w:pPr>
      <w:r>
        <w:rPr>
          <w:rFonts w:hint="eastAsia" w:ascii="Georgia" w:hAnsi="Georgia" w:eastAsia="等线" w:cs="Times New Roman"/>
          <w:b/>
          <w:bCs/>
          <w:i/>
          <w:iCs/>
          <w:sz w:val="24"/>
          <w:szCs w:val="24"/>
          <w:lang w:val="en-US" w:eastAsia="zh-CN"/>
        </w:rPr>
        <w:t>Detailed Response to Reviewers</w:t>
      </w:r>
    </w:p>
    <w:p w14:paraId="36F4084A">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Georgia" w:hAnsi="Georgia" w:eastAsia="等线" w:cs="Times New Roman"/>
          <w:b/>
          <w:bCs/>
          <w:i/>
          <w:iCs/>
          <w:sz w:val="24"/>
          <w:szCs w:val="24"/>
          <w:lang w:val="en-US" w:eastAsia="zh-CN"/>
        </w:rPr>
      </w:pPr>
      <w:r>
        <w:rPr>
          <w:rFonts w:hint="eastAsia" w:ascii="Georgia" w:hAnsi="Georgia" w:eastAsia="等线" w:cs="Times New Roman"/>
          <w:b/>
          <w:bCs/>
          <w:i/>
          <w:iCs/>
          <w:sz w:val="24"/>
          <w:szCs w:val="24"/>
          <w:lang w:val="en-US" w:eastAsia="zh-CN"/>
        </w:rPr>
        <w:t>Manuscript ID:</w:t>
      </w:r>
      <w:r>
        <w:rPr>
          <w:rFonts w:hint="eastAsia" w:ascii="Georgia" w:hAnsi="Georgia" w:eastAsia="等线" w:cs="Times New Roman"/>
          <w:b w:val="0"/>
          <w:bCs w:val="0"/>
          <w:i/>
          <w:iCs/>
          <w:sz w:val="24"/>
          <w:szCs w:val="24"/>
          <w:lang w:val="en-US" w:eastAsia="zh-CN"/>
        </w:rPr>
        <w:t xml:space="preserve"> FEM-2026-0130</w:t>
      </w:r>
    </w:p>
    <w:p w14:paraId="2C47BAD0">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Georgia" w:hAnsi="Georgia" w:eastAsia="等线" w:cs="Times New Roman"/>
          <w:b/>
          <w:bCs/>
          <w:i/>
          <w:iCs/>
          <w:sz w:val="24"/>
          <w:szCs w:val="24"/>
          <w:lang w:val="en-US" w:eastAsia="zh-CN"/>
        </w:rPr>
      </w:pPr>
      <w:r>
        <w:rPr>
          <w:rFonts w:hint="eastAsia" w:ascii="Georgia" w:hAnsi="Georgia" w:eastAsia="等线" w:cs="Times New Roman"/>
          <w:b/>
          <w:bCs/>
          <w:i/>
          <w:iCs/>
          <w:sz w:val="24"/>
          <w:szCs w:val="24"/>
          <w:lang w:val="en-US" w:eastAsia="zh-CN"/>
        </w:rPr>
        <w:t xml:space="preserve">Title: </w:t>
      </w:r>
      <w:r>
        <w:rPr>
          <w:rFonts w:hint="eastAsia" w:ascii="Georgia" w:hAnsi="Georgia" w:eastAsia="等线" w:cs="Times New Roman"/>
          <w:b w:val="0"/>
          <w:bCs w:val="0"/>
          <w:i/>
          <w:iCs/>
          <w:sz w:val="24"/>
          <w:szCs w:val="24"/>
          <w:lang w:val="en-US" w:eastAsia="zh-CN"/>
        </w:rPr>
        <w:t>Proactive Resilience of Urban Water Supply Cyber-Physical Systems under Extreme Water Network Malfunctions: An Early Warning Perspective</w:t>
      </w:r>
    </w:p>
    <w:p w14:paraId="3382A97C">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Georgia" w:hAnsi="Georgia" w:eastAsia="等线" w:cs="Times New Roman"/>
          <w:b/>
          <w:bCs/>
          <w:i/>
          <w:iCs/>
          <w:sz w:val="24"/>
          <w:szCs w:val="24"/>
          <w:lang w:val="en-US" w:eastAsia="zh-CN"/>
        </w:rPr>
      </w:pPr>
      <w:r>
        <w:rPr>
          <w:rFonts w:hint="eastAsia" w:ascii="Georgia" w:hAnsi="Georgia" w:eastAsia="等线" w:cs="Times New Roman"/>
          <w:b/>
          <w:bCs/>
          <w:i/>
          <w:iCs/>
          <w:sz w:val="24"/>
          <w:szCs w:val="24"/>
          <w:lang w:val="en-US" w:eastAsia="zh-CN"/>
        </w:rPr>
        <w:t>Journal:</w:t>
      </w:r>
      <w:r>
        <w:rPr>
          <w:rFonts w:hint="eastAsia" w:ascii="Georgia" w:hAnsi="Georgia" w:eastAsia="等线" w:cs="Times New Roman"/>
          <w:b w:val="0"/>
          <w:bCs w:val="0"/>
          <w:i/>
          <w:iCs/>
          <w:sz w:val="24"/>
          <w:szCs w:val="24"/>
          <w:lang w:val="en-US" w:eastAsia="zh-CN"/>
        </w:rPr>
        <w:t>ENGINEERING Management</w:t>
      </w:r>
    </w:p>
    <w:p w14:paraId="30D6314D">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Georgia" w:hAnsi="Georgia" w:eastAsia="等线" w:cs="Times New Roman"/>
          <w:b/>
          <w:bCs/>
          <w:i/>
          <w:iCs/>
          <w:sz w:val="24"/>
          <w:szCs w:val="24"/>
          <w:lang w:val="en-US" w:eastAsia="zh-CN"/>
        </w:rPr>
      </w:pPr>
    </w:p>
    <w:p w14:paraId="260D43CE">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eastAsia" w:ascii="Georgia" w:hAnsi="Georgia" w:eastAsia="等线" w:cs="Times New Roman"/>
          <w:b/>
          <w:bCs/>
          <w:i/>
          <w:iCs/>
          <w:sz w:val="24"/>
          <w:szCs w:val="24"/>
          <w:lang w:val="en-US" w:eastAsia="zh-CN"/>
        </w:rPr>
      </w:pPr>
      <w:r>
        <w:rPr>
          <w:rFonts w:hint="eastAsia" w:ascii="Georgia" w:hAnsi="Georgia" w:eastAsia="等线" w:cs="Times New Roman"/>
          <w:b/>
          <w:bCs/>
          <w:i/>
          <w:iCs/>
          <w:sz w:val="24"/>
          <w:szCs w:val="24"/>
          <w:lang w:val="en-US" w:eastAsia="zh-CN"/>
        </w:rPr>
        <w:t>Part 1: Response to Reviewer 1</w:t>
      </w:r>
    </w:p>
    <w:p w14:paraId="61723E7F">
      <w:pPr>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express our sincere gratitude to Reviewer for the thorough, constructive, and highly valuable comments regarding our manuscript. Reviewer’s feedback has provided crucial guidance on improving our abstract, literature review, explicit modeling assumptions, threshold rationales, figure quality, CPS mechanism decomposition, limitations, future research directions, conclusions, and reference formatting.</w:t>
      </w:r>
    </w:p>
    <w:p w14:paraId="4C72653F">
      <w:pPr>
        <w:numPr>
          <w:ilvl w:val="0"/>
          <w:numId w:val="0"/>
        </w:numPr>
        <w:ind w:leftChars="0"/>
        <w:jc w:val="both"/>
        <w:rPr>
          <w:rFonts w:hint="default" w:ascii="Times New Roman" w:hAnsi="Times New Roman" w:cs="Times New Roman"/>
          <w:sz w:val="24"/>
          <w:szCs w:val="24"/>
          <w:lang w:val="en-US" w:eastAsia="zh-CN"/>
        </w:rPr>
      </w:pPr>
    </w:p>
    <w:p w14:paraId="377B3781">
      <w:pPr>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In strict accordance with Reviewer’s comments, we have responded to all 7 numbered points in sequence below. Under each point, we provide a detailed, candid response followed by the exact, complete revised manuscript text blocks (including equations, tables, and in-text citations) that have been incorporated into the revised manuscript. </w:t>
      </w:r>
    </w:p>
    <w:p w14:paraId="3F3E7AAF">
      <w:pPr>
        <w:numPr>
          <w:ilvl w:val="0"/>
          <w:numId w:val="0"/>
        </w:numPr>
        <w:ind w:leftChars="0"/>
        <w:jc w:val="both"/>
        <w:rPr>
          <w:rFonts w:hint="default" w:ascii="Times New Roman" w:hAnsi="Times New Roman" w:cs="Times New Roman"/>
          <w:sz w:val="24"/>
          <w:szCs w:val="24"/>
          <w:lang w:val="en-US" w:eastAsia="zh-CN"/>
        </w:rPr>
      </w:pPr>
    </w:p>
    <w:p w14:paraId="495AA441">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sz w:val="24"/>
          <w:szCs w:val="24"/>
          <w:lang w:val="en-US" w:eastAsia="zh-CN"/>
        </w:rPr>
      </w:pPr>
      <w:r>
        <w:rPr>
          <w:rFonts w:hint="default" w:ascii="Georgia" w:hAnsi="Georgia" w:eastAsia="等线" w:cs="Times New Roman"/>
          <w:b/>
          <w:bCs/>
          <w:i/>
          <w:iCs/>
          <w:sz w:val="24"/>
          <w:szCs w:val="24"/>
          <w:lang w:val="en-US" w:eastAsia="zh-CN"/>
        </w:rPr>
        <w:t>Comment 1: Abstract and Keywords</w:t>
      </w:r>
    </w:p>
    <w:p w14:paraId="06DD6575">
      <w:pPr>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Reviewer Comment:</w:t>
      </w:r>
    </w:p>
    <w:p w14:paraId="2CBEF1F1">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abstract contains redundant descriptions and lengthy sentences. Please streamline the language, and concisely summarize the research scenario, core methodology, key findings and major innovations.</w:t>
      </w:r>
    </w:p>
    <w:p w14:paraId="75F37936">
      <w:pPr>
        <w:jc w:val="both"/>
        <w:rPr>
          <w:rFonts w:hint="default" w:ascii="Times New Roman" w:hAnsi="Times New Roman" w:cs="Times New Roman"/>
          <w:i/>
          <w:iCs/>
          <w:sz w:val="24"/>
          <w:szCs w:val="24"/>
          <w:lang w:val="en-US" w:eastAsia="zh-CN"/>
        </w:rPr>
      </w:pPr>
    </w:p>
    <w:p w14:paraId="48DAADA8">
      <w:pPr>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r>
        <w:rPr>
          <w:rFonts w:hint="eastAsia" w:ascii="Times New Roman" w:hAnsi="Times New Roman" w:cs="Times New Roman"/>
          <w:b/>
          <w:bCs/>
          <w:i w:val="0"/>
          <w:iCs w:val="0"/>
          <w:sz w:val="24"/>
          <w:szCs w:val="24"/>
          <w:lang w:val="en-US" w:eastAsia="zh-CN"/>
        </w:rPr>
        <w:t>:</w:t>
      </w:r>
    </w:p>
    <w:p w14:paraId="4E996C6E">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sincerely agree with Reviewer’s critique regarding the abstract. We candidly acknowledge that the original abstract contained redundant phrasing and overly complex sentence structures.</w:t>
      </w:r>
    </w:p>
    <w:p w14:paraId="0E8DA6C8">
      <w:pPr>
        <w:jc w:val="both"/>
        <w:rPr>
          <w:rFonts w:hint="default" w:ascii="Times New Roman" w:hAnsi="Times New Roman" w:cs="Times New Roman"/>
          <w:sz w:val="24"/>
          <w:szCs w:val="24"/>
          <w:lang w:val="en-US" w:eastAsia="zh-CN"/>
        </w:rPr>
      </w:pPr>
    </w:p>
    <w:p w14:paraId="52059508">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response, we have completely rewritten the abstract to be concise, fluent, and mathematically precise, maintaining a strict word count under 250 words. The revised abstract is organized logically into four essential components:</w:t>
      </w:r>
    </w:p>
    <w:p w14:paraId="0CA3D9A7">
      <w:pPr>
        <w:jc w:val="both"/>
        <w:rPr>
          <w:rFonts w:hint="default" w:ascii="Times New Roman" w:hAnsi="Times New Roman" w:cs="Times New Roman"/>
          <w:sz w:val="24"/>
          <w:szCs w:val="24"/>
          <w:lang w:val="en-US" w:eastAsia="zh-CN"/>
        </w:rPr>
      </w:pPr>
    </w:p>
    <w:p w14:paraId="712B96F0">
      <w:pPr>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Research Scenario:</w:t>
      </w:r>
      <w:r>
        <w:rPr>
          <w:rFonts w:hint="default" w:ascii="Times New Roman" w:hAnsi="Times New Roman" w:cs="Times New Roman"/>
          <w:sz w:val="24"/>
          <w:szCs w:val="24"/>
          <w:lang w:val="en-US" w:eastAsia="zh-CN"/>
        </w:rPr>
        <w:t xml:space="preserve"> A total water source outage (24–48 h) in an urban water supply Cyber-Physical System (CPS) tested on the Anytown benchmark network.</w:t>
      </w:r>
    </w:p>
    <w:p w14:paraId="60D2DE25">
      <w:pPr>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2. Core Methodology:</w:t>
      </w:r>
      <w:r>
        <w:rPr>
          <w:rFonts w:hint="eastAsia" w:ascii="Times New Roman" w:hAnsi="Times New Roman" w:cs="Times New Roman"/>
          <w:sz w:val="24"/>
          <w:szCs w:val="24"/>
          <w:lang w:val="en-US" w:eastAsia="zh-CN"/>
        </w:rPr>
        <w:t xml:space="preserve"> Integration of EPANET 2.2 Pressure-Driven Analysis (PDA) with SCADA control logic to model early warning as an operational graded demand-management intervention (70%/40%/20% demand curtailment).</w:t>
      </w:r>
    </w:p>
    <w:p w14:paraId="4A8801B1">
      <w:pPr>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b/>
          <w:bCs/>
          <w:sz w:val="24"/>
          <w:szCs w:val="24"/>
          <w:lang w:val="en-US" w:eastAsia="zh-CN"/>
        </w:rPr>
        <w:t>Key Findings:</w:t>
      </w:r>
      <w:r>
        <w:rPr>
          <w:rFonts w:hint="default" w:ascii="Times New Roman" w:hAnsi="Times New Roman" w:cs="Times New Roman"/>
          <w:sz w:val="24"/>
          <w:szCs w:val="24"/>
          <w:lang w:val="en-US" w:eastAsia="zh-CN"/>
        </w:rPr>
        <w:t xml:space="preserve"> Dual-metric evaluation showing that early warning increases the Pressure Resilience Index (RIpressure) from 0.22 to 0.84 and the Service Resilience Index (RIservice, Demand Satisfaction Ratio DSR) from 0.23 to 0.29. Volumetric accounting proves that early warning achieves a +36.2% gain in delivered water volume (1,843.1 m3 vs. 1,353.5 m3) and an −8.8% net reduction in cumulative unmet demand (5,979.7 m3 vs. 6,469.3 m3).</w:t>
      </w:r>
    </w:p>
    <w:p w14:paraId="64FDFB8C">
      <w:pPr>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4. Major Innovations &amp; Engineering Implications: </w:t>
      </w:r>
      <w:r>
        <w:rPr>
          <w:rFonts w:hint="eastAsia" w:ascii="Times New Roman" w:hAnsi="Times New Roman" w:cs="Times New Roman"/>
          <w:sz w:val="24"/>
          <w:szCs w:val="24"/>
          <w:lang w:val="en-US" w:eastAsia="zh-CN"/>
        </w:rPr>
        <w:t>Demonstration of how proactive demand management converts passive physical storage into an active time-difference buffer, offering practical emergency pre-plan guidance for municipal water utilities.</w:t>
      </w:r>
    </w:p>
    <w:p w14:paraId="6AA9AC95">
      <w:pPr>
        <w:jc w:val="both"/>
        <w:rPr>
          <w:rFonts w:hint="default" w:ascii="Times New Roman" w:hAnsi="Times New Roman" w:cs="Times New Roman"/>
          <w:sz w:val="24"/>
          <w:szCs w:val="24"/>
          <w:lang w:val="en-US" w:eastAsia="zh-CN"/>
        </w:rPr>
      </w:pPr>
    </w:p>
    <w:p w14:paraId="109DF201">
      <w:pPr>
        <w:jc w:val="both"/>
        <w:rPr>
          <w:rFonts w:hint="eastAsia"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Changes in Manuscript</w:t>
      </w:r>
      <w:r>
        <w:rPr>
          <w:rFonts w:hint="eastAsia" w:ascii="Times New Roman" w:hAnsi="Times New Roman" w:cs="Times New Roman"/>
          <w:b/>
          <w:bCs/>
          <w:i w:val="0"/>
          <w:iCs w:val="0"/>
          <w:sz w:val="24"/>
          <w:szCs w:val="24"/>
          <w:lang w:val="en-US" w:eastAsia="zh-CN"/>
        </w:rPr>
        <w:t>:</w:t>
      </w:r>
    </w:p>
    <w:p w14:paraId="79DA7A7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iCs/>
          <w:sz w:val="24"/>
          <w:szCs w:val="24"/>
          <w:lang w:val="en-US" w:eastAsia="zh-CN"/>
        </w:rPr>
      </w:pPr>
      <w:r>
        <w:rPr>
          <w:rFonts w:hint="default" w:ascii="Times New Roman" w:hAnsi="Times New Roman" w:eastAsia="等线" w:cs="Times New Roman"/>
          <w:b w:val="0"/>
          <w:bCs w:val="0"/>
          <w:i/>
          <w:iCs/>
          <w:sz w:val="24"/>
          <w:szCs w:val="24"/>
          <w:lang w:val="en-US" w:eastAsia="zh-CN"/>
        </w:rPr>
        <w:t>The Abstract in the revised manuscript has been completely replaced with the</w:t>
      </w:r>
      <w:r>
        <w:rPr>
          <w:rFonts w:hint="eastAsia" w:ascii="Times New Roman" w:hAnsi="Times New Roman" w:eastAsia="等线" w:cs="Times New Roman"/>
          <w:b w:val="0"/>
          <w:bCs w:val="0"/>
          <w:i/>
          <w:iCs/>
          <w:sz w:val="24"/>
          <w:szCs w:val="24"/>
          <w:lang w:val="en-US" w:eastAsia="zh-CN"/>
        </w:rPr>
        <w:t xml:space="preserve"> </w:t>
      </w:r>
      <w:r>
        <w:rPr>
          <w:rFonts w:hint="default" w:ascii="Times New Roman" w:hAnsi="Times New Roman" w:eastAsia="等线" w:cs="Times New Roman"/>
          <w:b w:val="0"/>
          <w:bCs w:val="0"/>
          <w:i/>
          <w:iCs/>
          <w:sz w:val="24"/>
          <w:szCs w:val="24"/>
          <w:lang w:val="en-US" w:eastAsia="zh-CN"/>
        </w:rPr>
        <w:t>following structured text:</w:t>
      </w:r>
    </w:p>
    <w:p w14:paraId="6F37EF79">
      <w:pPr>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Abstract</w:t>
      </w:r>
    </w:p>
    <w:p w14:paraId="6963E999">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Urban water supply cyber-physical systems (CPS) exploit the temporal discrepancy between fast cyber sensing and slow physical hydraulic degradation to enhance proactive resilience. Using a co-simulation platform (WNTR/EPANET 2.2 + SCADA control) on the Anytown benchmark network under a total source interruption scenario (24–48h), we model early warning as an operational graded demand-management intervention (70%/40%/20% demand curtailment) and evaluate system performance using both pressure-based (</w:t>
      </w:r>
      <m:oMath>
        <m:sSub>
          <m:sSubPr>
            <m:ctrlPr>
              <w:rPr>
                <w:rFonts w:hint="default" w:ascii="Cambria Math" w:hAnsi="Cambria Math" w:cs="Times New Roman"/>
                <w:i/>
                <w:iCs/>
                <w:sz w:val="24"/>
                <w:szCs w:val="24"/>
                <w:lang w:val="en-US"/>
              </w:rPr>
            </m:ctrlPr>
          </m:sSubPr>
          <m:e>
            <m:r>
              <m:rPr>
                <m:nor/>
              </m:rPr>
              <w:rPr>
                <w:rFonts w:hint="default" w:ascii="Times New Roman" w:hAnsi="Times New Roman" w:cs="Times New Roman"/>
                <w:i/>
                <w:sz w:val="24"/>
                <w:szCs w:val="24"/>
                <w:lang w:val="en-US" w:eastAsia="zh-CN"/>
              </w:rPr>
              <m:t>RI</m:t>
            </m:r>
            <m:ctrlPr>
              <w:rPr>
                <w:rFonts w:hint="default" w:ascii="Cambria Math" w:hAnsi="Cambria Math" w:cs="Times New Roman"/>
                <w:i/>
                <w:iCs/>
                <w:sz w:val="24"/>
                <w:szCs w:val="24"/>
                <w:lang w:val="en-US"/>
              </w:rPr>
            </m:ctrlPr>
          </m:e>
          <m:sub>
            <m:r>
              <m:rPr>
                <m:nor/>
              </m:rPr>
              <w:rPr>
                <w:rFonts w:hint="default" w:ascii="Times New Roman" w:hAnsi="Times New Roman" w:cs="Times New Roman"/>
                <w:i/>
                <w:sz w:val="24"/>
                <w:szCs w:val="24"/>
                <w:lang w:val="en-US" w:eastAsia="zh-CN"/>
              </w:rPr>
              <m:t>pressure</m:t>
            </m:r>
            <m:ctrlPr>
              <w:rPr>
                <w:rFonts w:hint="default" w:ascii="Cambria Math" w:hAnsi="Cambria Math" w:cs="Times New Roman"/>
                <w:i/>
                <w:iCs/>
                <w:sz w:val="24"/>
                <w:szCs w:val="24"/>
                <w:lang w:val="en-US"/>
              </w:rPr>
            </m:ctrlPr>
          </m:sub>
        </m:sSub>
      </m:oMath>
      <w:r>
        <w:rPr>
          <w:rFonts w:hint="default" w:ascii="Times New Roman" w:hAnsi="Times New Roman" w:cs="Times New Roman"/>
          <w:i/>
          <w:iCs/>
          <w:sz w:val="24"/>
          <w:szCs w:val="24"/>
          <w:lang w:val="en-US" w:eastAsia="zh-CN"/>
        </w:rPr>
        <w:t>) and service-based (</w:t>
      </w:r>
      <m:oMath>
        <m:sSub>
          <m:sSubPr>
            <m:ctrlPr>
              <w:rPr>
                <w:rFonts w:hint="default" w:ascii="Cambria Math" w:hAnsi="Cambria Math" w:cs="Times New Roman"/>
                <w:i/>
                <w:iCs/>
                <w:sz w:val="24"/>
                <w:szCs w:val="24"/>
                <w:lang w:val="en-US"/>
              </w:rPr>
            </m:ctrlPr>
          </m:sSubPr>
          <m:e>
            <m:r>
              <m:rPr>
                <m:nor/>
              </m:rPr>
              <w:rPr>
                <w:rFonts w:hint="default" w:ascii="Times New Roman" w:hAnsi="Times New Roman" w:cs="Times New Roman"/>
                <w:i/>
                <w:sz w:val="24"/>
                <w:szCs w:val="24"/>
                <w:lang w:val="en-US" w:eastAsia="zh-CN"/>
              </w:rPr>
              <m:t>RI</m:t>
            </m:r>
            <m:ctrlPr>
              <w:rPr>
                <w:rFonts w:hint="default" w:ascii="Cambria Math" w:hAnsi="Cambria Math" w:cs="Times New Roman"/>
                <w:i/>
                <w:iCs/>
                <w:sz w:val="24"/>
                <w:szCs w:val="24"/>
                <w:lang w:val="en-US"/>
              </w:rPr>
            </m:ctrlPr>
          </m:e>
          <m:sub>
            <m:r>
              <m:rPr>
                <m:nor/>
              </m:rPr>
              <w:rPr>
                <w:rFonts w:hint="default" w:ascii="Times New Roman" w:hAnsi="Times New Roman" w:cs="Times New Roman"/>
                <w:i/>
                <w:sz w:val="24"/>
                <w:szCs w:val="24"/>
                <w:lang w:val="en-US" w:eastAsia="zh-CN"/>
              </w:rPr>
              <m:t>service</m:t>
            </m:r>
            <m:ctrlPr>
              <w:rPr>
                <w:rFonts w:hint="default" w:ascii="Cambria Math" w:hAnsi="Cambria Math" w:cs="Times New Roman"/>
                <w:i/>
                <w:iCs/>
                <w:sz w:val="24"/>
                <w:szCs w:val="24"/>
                <w:lang w:val="en-US"/>
              </w:rPr>
            </m:ctrlPr>
          </m:sub>
        </m:sSub>
      </m:oMath>
      <w:r>
        <w:rPr>
          <w:rFonts w:hint="default" w:ascii="Times New Roman" w:hAnsi="Times New Roman" w:cs="Times New Roman"/>
          <w:i/>
          <w:iCs/>
          <w:sz w:val="24"/>
          <w:szCs w:val="24"/>
          <w:lang w:val="en-US" w:eastAsia="zh-CN"/>
        </w:rPr>
        <w:t>) resilience indices. Results demonstrate that early warning mechanism (EWM) converts a brittle zero-supply collapse into a controlled, manageable degradation: over a 24-h source outage, EWM increases total delivered water volume by 36.2% (1,353.5 m3 to 1,843.1 m3) and reduces cumulative unmet demand by 8.8% (6,469.3 m3 to 5,979.7 m3), while preserving pipe pressure above the 0.10 MPa emergency threshold. Multi-factor sensitivity analysis across risk thresholds (ΔH±1.0 m), tank storage sizes (0.6×–1.4×), and outage durations (12–48 h) reveals that EWM benefits are stress-dependent, establishing clear operational application boundaries and demonstrating over-curtailment risks under light stress.</w:t>
      </w:r>
      <w:r>
        <w:rPr>
          <w:rFonts w:hint="eastAsia" w:ascii="Times New Roman" w:hAnsi="Times New Roman" w:cs="Times New Roman"/>
          <w:i/>
          <w:iCs/>
          <w:sz w:val="24"/>
          <w:szCs w:val="24"/>
          <w:lang w:val="en-US" w:eastAsia="zh-CN"/>
        </w:rPr>
        <w:t xml:space="preserve"> </w:t>
      </w:r>
      <w:r>
        <w:rPr>
          <w:rFonts w:hint="default" w:ascii="Times New Roman" w:hAnsi="Times New Roman" w:cs="Times New Roman"/>
          <w:i/>
          <w:iCs/>
          <w:sz w:val="24"/>
          <w:szCs w:val="24"/>
          <w:lang w:val="en-US" w:eastAsia="zh-CN"/>
        </w:rPr>
        <w:t>This study provides actionable emergency pre-plan strategies and quantitative guidelines for municipal water utilities under extreme physical disruptions.</w:t>
      </w:r>
    </w:p>
    <w:p w14:paraId="61DFF59B">
      <w:pPr>
        <w:jc w:val="both"/>
        <w:rPr>
          <w:rFonts w:hint="default" w:ascii="Times New Roman" w:hAnsi="Times New Roman" w:cs="Times New Roman"/>
          <w:i/>
          <w:iCs/>
          <w:sz w:val="24"/>
          <w:szCs w:val="24"/>
          <w:lang w:val="en-US" w:eastAsia="zh-CN"/>
        </w:rPr>
      </w:pPr>
    </w:p>
    <w:p w14:paraId="1F969D35">
      <w:pPr>
        <w:jc w:val="both"/>
        <w:rPr>
          <w:rFonts w:hint="eastAsia" w:ascii="Times New Roman" w:hAnsi="Times New Roman" w:cs="Times New Roman"/>
          <w:i/>
          <w:iCs/>
          <w:sz w:val="24"/>
          <w:szCs w:val="24"/>
          <w:lang w:val="en-US" w:eastAsia="zh-CN"/>
        </w:rPr>
      </w:pPr>
      <w:r>
        <w:rPr>
          <w:rFonts w:hint="default" w:ascii="Times New Roman" w:hAnsi="Times New Roman" w:cs="Times New Roman"/>
          <w:b/>
          <w:bCs/>
          <w:i/>
          <w:iCs/>
          <w:sz w:val="24"/>
          <w:szCs w:val="24"/>
          <w:lang w:val="en-US" w:eastAsia="zh-CN"/>
        </w:rPr>
        <w:t>Keywords</w:t>
      </w:r>
      <w:r>
        <w:rPr>
          <w:rFonts w:hint="eastAsia" w:ascii="Times New Roman" w:hAnsi="Times New Roman" w:cs="Times New Roman"/>
          <w:b/>
          <w:bCs/>
          <w:i/>
          <w:iCs/>
          <w:sz w:val="24"/>
          <w:szCs w:val="24"/>
          <w:lang w:val="en-US" w:eastAsia="zh-CN"/>
        </w:rPr>
        <w:t xml:space="preserve">: </w:t>
      </w:r>
      <w:r>
        <w:rPr>
          <w:rFonts w:hint="eastAsia" w:ascii="Times New Roman" w:hAnsi="Times New Roman" w:cs="Times New Roman"/>
          <w:i/>
          <w:iCs/>
          <w:sz w:val="24"/>
          <w:szCs w:val="24"/>
          <w:lang w:val="en-US" w:eastAsia="zh-CN"/>
        </w:rPr>
        <w:t>C</w:t>
      </w:r>
      <w:r>
        <w:rPr>
          <w:rFonts w:hint="default" w:ascii="Times New Roman" w:hAnsi="Times New Roman" w:cs="Times New Roman"/>
          <w:i/>
          <w:iCs/>
          <w:sz w:val="24"/>
          <w:szCs w:val="24"/>
          <w:lang w:val="en-US" w:eastAsia="zh-CN"/>
        </w:rPr>
        <w:t>yber-physical system; Urban water supply;</w:t>
      </w:r>
      <w:r>
        <w:rPr>
          <w:rFonts w:hint="eastAsia" w:ascii="Times New Roman" w:hAnsi="Times New Roman" w:cs="Times New Roman"/>
          <w:i/>
          <w:iCs/>
          <w:sz w:val="24"/>
          <w:szCs w:val="24"/>
          <w:lang w:val="en-US" w:eastAsia="zh-CN"/>
        </w:rPr>
        <w:t xml:space="preserve"> </w:t>
      </w:r>
      <w:r>
        <w:rPr>
          <w:rFonts w:hint="default" w:ascii="Times New Roman" w:hAnsi="Times New Roman" w:cs="Times New Roman"/>
          <w:i/>
          <w:iCs/>
          <w:sz w:val="24"/>
          <w:szCs w:val="24"/>
          <w:lang w:val="en-US" w:eastAsia="zh-CN"/>
        </w:rPr>
        <w:t xml:space="preserve">Proactive resilience; Early warning mechanism; </w:t>
      </w:r>
      <w:r>
        <w:rPr>
          <w:rFonts w:hint="eastAsia" w:ascii="Times New Roman" w:hAnsi="Times New Roman" w:cs="Times New Roman"/>
          <w:i/>
          <w:iCs/>
          <w:sz w:val="24"/>
          <w:szCs w:val="24"/>
          <w:lang w:val="en-US" w:eastAsia="zh-CN"/>
        </w:rPr>
        <w:t>Pressure-driven analysis; Graded demand management</w:t>
      </w:r>
    </w:p>
    <w:p w14:paraId="31D158D4">
      <w:pPr>
        <w:jc w:val="both"/>
        <w:rPr>
          <w:rFonts w:hint="default" w:ascii="Times New Roman" w:hAnsi="Times New Roman" w:cs="Times New Roman"/>
          <w:i/>
          <w:iCs/>
          <w:sz w:val="24"/>
          <w:szCs w:val="24"/>
          <w:lang w:val="en-US" w:eastAsia="zh-CN"/>
        </w:rPr>
      </w:pPr>
    </w:p>
    <w:p w14:paraId="4FA5AE77">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sz w:val="24"/>
          <w:szCs w:val="24"/>
          <w:lang w:val="en-US" w:eastAsia="zh-CN"/>
        </w:rPr>
      </w:pPr>
      <w:r>
        <w:rPr>
          <w:rFonts w:hint="default" w:ascii="Georgia" w:hAnsi="Georgia" w:eastAsia="等线" w:cs="Times New Roman"/>
          <w:b/>
          <w:bCs/>
          <w:i/>
          <w:iCs/>
          <w:sz w:val="24"/>
          <w:szCs w:val="24"/>
          <w:lang w:val="en-US" w:eastAsia="zh-CN"/>
        </w:rPr>
        <w:t>Comment 2: Introduction</w:t>
      </w:r>
    </w:p>
    <w:p w14:paraId="49DA511A">
      <w:pPr>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Reviewer Comment:</w:t>
      </w:r>
    </w:p>
    <w:p w14:paraId="5A27677E">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literature review is superficial. Most references are simply listed without in-depth comparative analysis. Please sort out state-of-the-art studies on water supply CPS, resilience assessment and early warning technologies, and clearly clarify the marginal contributions of this work against existing literature. The three research objectives are scattered. Reorganize and condense them at the end of the introduction to clearly state the problems to be solved, models to be established and mechanisms to be revealed.</w:t>
      </w:r>
    </w:p>
    <w:p w14:paraId="3173E364">
      <w:pPr>
        <w:jc w:val="both"/>
        <w:rPr>
          <w:rFonts w:hint="default" w:ascii="Times New Roman" w:hAnsi="Times New Roman" w:cs="Times New Roman"/>
          <w:i/>
          <w:iCs/>
          <w:sz w:val="24"/>
          <w:szCs w:val="24"/>
          <w:lang w:val="en-US" w:eastAsia="zh-CN"/>
        </w:rPr>
      </w:pPr>
    </w:p>
    <w:p w14:paraId="15945FA1">
      <w:pPr>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r>
        <w:rPr>
          <w:rFonts w:hint="eastAsia" w:ascii="Times New Roman" w:hAnsi="Times New Roman" w:cs="Times New Roman"/>
          <w:b/>
          <w:bCs/>
          <w:i w:val="0"/>
          <w:iCs w:val="0"/>
          <w:sz w:val="24"/>
          <w:szCs w:val="24"/>
          <w:lang w:val="en-US" w:eastAsia="zh-CN"/>
        </w:rPr>
        <w:t>:</w:t>
      </w:r>
    </w:p>
    <w:p w14:paraId="0A56A374">
      <w:pPr>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appreciate Reviewer’s critical insight regarding the introduction and literature review. We fully agree that the original literature review lacked a structured, comparative synthesis and that the research objectives were scattered across multiple paragraphs.</w:t>
      </w:r>
    </w:p>
    <w:p w14:paraId="1B63EE35">
      <w:pPr>
        <w:numPr>
          <w:ilvl w:val="0"/>
          <w:numId w:val="0"/>
        </w:numPr>
        <w:ind w:leftChars="0"/>
        <w:jc w:val="both"/>
        <w:rPr>
          <w:rFonts w:hint="default" w:ascii="Times New Roman" w:hAnsi="Times New Roman" w:cs="Times New Roman"/>
          <w:sz w:val="24"/>
          <w:szCs w:val="24"/>
          <w:lang w:val="en-US" w:eastAsia="zh-CN"/>
        </w:rPr>
      </w:pPr>
    </w:p>
    <w:p w14:paraId="434A8BA6">
      <w:pPr>
        <w:numPr>
          <w:ilvl w:val="0"/>
          <w:numId w:val="0"/>
        </w:numPr>
        <w:ind w:lef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response, we have thoroughly restructured Section 1 to achieve three major improvements:</w:t>
      </w:r>
    </w:p>
    <w:p w14:paraId="0BCFA167">
      <w:pPr>
        <w:numPr>
          <w:ilvl w:val="0"/>
          <w:numId w:val="0"/>
        </w:numPr>
        <w:ind w:leftChars="0"/>
        <w:jc w:val="both"/>
        <w:rPr>
          <w:rFonts w:hint="default" w:ascii="Times New Roman" w:hAnsi="Times New Roman" w:cs="Times New Roman"/>
          <w:sz w:val="24"/>
          <w:szCs w:val="24"/>
          <w:lang w:val="en-US" w:eastAsia="zh-CN"/>
        </w:rPr>
      </w:pPr>
    </w:p>
    <w:p w14:paraId="2AC81B70">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Three-Stream Comparative Literature Review:</w:t>
      </w:r>
      <w:r>
        <w:rPr>
          <w:rFonts w:hint="default" w:ascii="Times New Roman" w:hAnsi="Times New Roman" w:cs="Times New Roman"/>
          <w:sz w:val="24"/>
          <w:szCs w:val="24"/>
          <w:lang w:val="en-US" w:eastAsia="zh-CN"/>
        </w:rPr>
        <w:t xml:space="preserve"> We systematically synthesized state-of-the-art studies into three distinct streams: (i) Smart water networks and CPS monitoring; (ii) Infrastructure resilience assessment methodologies; and (iii) Early warning and decision support systems.</w:t>
      </w:r>
    </w:p>
    <w:p w14:paraId="366889E5">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b/>
          <w:bCs/>
          <w:sz w:val="24"/>
          <w:szCs w:val="24"/>
          <w:lang w:val="en-US" w:eastAsia="zh-CN"/>
        </w:rPr>
        <w:t>Explicit Marginal Contributions:</w:t>
      </w:r>
      <w:r>
        <w:rPr>
          <w:rFonts w:hint="default" w:ascii="Times New Roman" w:hAnsi="Times New Roman" w:cs="Times New Roman"/>
          <w:sz w:val="24"/>
          <w:szCs w:val="24"/>
          <w:lang w:val="en-US" w:eastAsia="zh-CN"/>
        </w:rPr>
        <w:t xml:space="preserve"> We explicitly articulated our marginal contribution against existing studies, while current literature treats early warning as passive alarms or focuses on cyber-attacks, our work operationalizes early warning into a closed-loop physical intervention, proving that proactive demand management actively expands the temporal buffer between cyber detection and hydraulic collapse.</w:t>
      </w:r>
    </w:p>
    <w:p w14:paraId="7EC2D4DA">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b/>
          <w:bCs/>
          <w:sz w:val="24"/>
          <w:szCs w:val="24"/>
          <w:lang w:val="en-US" w:eastAsia="zh-CN"/>
        </w:rPr>
        <w:t xml:space="preserve">Condensed Core Objectives: </w:t>
      </w:r>
      <w:r>
        <w:rPr>
          <w:rFonts w:hint="default" w:ascii="Times New Roman" w:hAnsi="Times New Roman" w:cs="Times New Roman"/>
          <w:sz w:val="24"/>
          <w:szCs w:val="24"/>
          <w:lang w:val="en-US" w:eastAsia="zh-CN"/>
        </w:rPr>
        <w:t>We reorganized and condensed the end of Section 1 into a single cohesive paragraph defining: (i) Problem to be Solved (eliminating zero-supply collapse); (ii) Model to be Established (WNTR/EPANET 2.2 PDA + SCADA graded control platform); and (iii) Mechanism to be Revealed (quantifying the time-difference buffer).</w:t>
      </w:r>
    </w:p>
    <w:p w14:paraId="0BEA9048">
      <w:pPr>
        <w:numPr>
          <w:ilvl w:val="0"/>
          <w:numId w:val="0"/>
        </w:numPr>
        <w:ind w:leftChars="0"/>
        <w:jc w:val="both"/>
        <w:rPr>
          <w:rFonts w:hint="default" w:ascii="Times New Roman" w:hAnsi="Times New Roman" w:cs="Times New Roman"/>
          <w:sz w:val="24"/>
          <w:szCs w:val="24"/>
          <w:lang w:val="en-US" w:eastAsia="zh-CN"/>
        </w:rPr>
      </w:pPr>
    </w:p>
    <w:p w14:paraId="1294A3DE">
      <w:pPr>
        <w:jc w:val="both"/>
        <w:rPr>
          <w:rFonts w:hint="eastAsia"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Changes in Manuscript</w:t>
      </w:r>
      <w:r>
        <w:rPr>
          <w:rFonts w:hint="eastAsia" w:ascii="Times New Roman" w:hAnsi="Times New Roman" w:cs="Times New Roman"/>
          <w:b/>
          <w:bCs/>
          <w:i w:val="0"/>
          <w:iCs w:val="0"/>
          <w:sz w:val="24"/>
          <w:szCs w:val="24"/>
          <w:lang w:val="en-US" w:eastAsia="zh-CN"/>
        </w:rPr>
        <w:t>:</w:t>
      </w:r>
    </w:p>
    <w:p w14:paraId="67886340">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Section 1 (Introduction) has been extensively revised. The restructured literature review and condensed objectives at the end of Section 1 are presented below:</w:t>
      </w:r>
    </w:p>
    <w:p w14:paraId="403F29EA">
      <w:pPr>
        <w:numPr>
          <w:ilvl w:val="0"/>
          <w:numId w:val="0"/>
        </w:numPr>
        <w:ind w:leftChars="0"/>
        <w:jc w:val="both"/>
        <w:rPr>
          <w:rFonts w:hint="default" w:ascii="Times New Roman" w:hAnsi="Times New Roman" w:cs="Times New Roman"/>
          <w:i/>
          <w:iCs/>
          <w:sz w:val="24"/>
          <w:szCs w:val="24"/>
          <w:lang w:val="en-US" w:eastAsia="zh-CN"/>
        </w:rPr>
      </w:pPr>
    </w:p>
    <w:p w14:paraId="671FA888">
      <w:pPr>
        <w:numPr>
          <w:ilvl w:val="0"/>
          <w:numId w:val="0"/>
        </w:numPr>
        <w:ind w:leftChars="0"/>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1. Introduction</w:t>
      </w:r>
    </w:p>
    <w:p w14:paraId="35047EF9">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Urban water supply systems serve as foundational lifeline infrastructures, delivering essential drinking water and fire-fighting capabilities to municipal populations. In recent years, rapid urbanization and industrial digital transformation have accelerated the evolution of conventional water supply infrastructures into complex Cyber-Physical Systems (CPS) (Alexandra et al., 2023; Ande et al., 2020; Liao et al., 2025). Physical hydraulic infrastructures, including reservoirs, pumping stations, distribution mains, and storage tanks, are now tightly coupled with cyber monitoring networks consisting of Supervisory Control and Data Acquisition (SCADA) telemetry, Programmable Logic Controllers (PLCs), wireless sensor networks, and automated control valves (Bhardwaj et al., 2021; Khan et al., 2020; Yadav &amp; Paul, 2021). While this cyber-physical integration significantly enhances operational efficiency under routine conditions, modern urban water supply CPSs face unprecedented operational vulnerabilities from catastrophic disruptions, including extreme natural hazards, climate risks, power blackouts, and severe source contamination events (Argyroudis et al., 2022; Boltz et al., 2019; Khattak, 2024; Mohebbi et al., 2020).</w:t>
      </w:r>
    </w:p>
    <w:p w14:paraId="56ADBA2E">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When a catastrophic disruption strikes, such as a total water source outage causing an immediate loss of primary pumping capacity, conventional risk management frameworks predominantly rely on passive, post-disaster fail-and-repair strategies (Holling, 1973; Hosseini et al., 2016). However, physical repair times for critical pumping infrastructure or contaminated source remediation typically range from several hours to multiple days. In the absence of active operational intervention, uncurtailed consumer demand rapidly depletes emergency storage tanks, causing widespread pipeline depressurization, air binding, cascading failure propagation, and catastrophic water service collapse (He et al., 2024; Wu &amp; Li, 2021). Consequently, there is an urgent imperative to transition urban water supply infrastructure from passive disturbance tolerance toward proactive resilience, leveraging cyber-physical capabilities, digital transformation, and organizational agility to actively manage degradation during emergency disruption windows (Garcia-Perez et al., 2023; He et al., 2023).</w:t>
      </w:r>
    </w:p>
    <w:p w14:paraId="2F4B5395">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 critical, yet underutilized, mechanism for achieving proactive resilience is the intrinsic temporal discrepancy between cyber sensing and physical hydraulic drawdown. Cyber telemetry operates on ultra-fast time scales (~seconds), continuously acquiring pressure heads and storage levels across distribution mains. In contrast, physical hydraulic storage drawdown and network head degradation propagate across significantly slower time scales (~hours). In a coupled cyber-physical system, the identification, transmission, and operationalization of risk telemetry occur notably faster than the physical propagation and escalation of hydraulic failure (Arghandeh et al., 2016; Hassanzadeh et al., 2020). This temporal speed difference creates a valuable time-difference buffer, establishing a quantifiable time-difference window (Δ T). If SCADA sensing can identify early risk trends before irreversible tank drainage occurs, this temporal window can be operationalized to trigger proactive control actions, converting a passive physical time margin into an active resilience mechanism.</w:t>
      </w:r>
    </w:p>
    <w:p w14:paraId="0C0C6964">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Despite the growing body of literature on urban infrastructure security, existing research across relevant domains exhibits key methodological limitations when applied to proactive water supply resilience. Research on smart water networks and CPS monitoring (Bhardwaj et al., 2021; Hassanzadeh et al., 2020; Taormina et al., 2018; Yadav &amp; Paul, 2021) has focused overwhelmingly on cybersecurity, cyber-attack detection, and automated leak localization. While these studies establish the technical feasibility of high-frequency SCADA telemetry, they rarely explore how fast cyber sensing can be coupled with physical hydraulic control to actively buffer major physical disruptions such as total source outages. Concurrently, traditional infrastructure resilience assessment frameworks (Cai et al., 2021; Casal-Campos et al., 2018; Chen et al., 2025a, 2025b; Hosseini et al., 2016; Hou et al., 2023; Liu et al., 2020; Meng et al., 2018; Zhang et al., 2022) rely heavily on structural network topology or pressure head availability. Most resilience indices evaluate physical pressure preservation relative to pre-fault baseline head, implicitly assuming that maintaining pipe pressure is synonymous with maintaining consumer supply.</w:t>
      </w:r>
    </w:p>
    <w:p w14:paraId="1C85E0FA">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Under extreme source disruptions where demand is intentionally curtailed to conserve storage, pressure-based metrics fail to account for the service sacrificed during load shedding, leading to inflated resilience assessments. Furthermore, existing early warning and decision support research in water engineering (Juan-Garcia et al., 2017; Liu, 2019; Liu &amp; Mijic, 2025; Liu et al., 2023a; Wardropper &amp; Brookfield, 2022) is largely restricted to alarm generation for pipe bursts or regional water routing, lacking closed-loop integration with operational demand management. Crucially, the physical mechanisms governing how early warning signals translate into delivered water gains, as well as the operational application boundaries under varying stress levels, remain unquantified.</w:t>
      </w:r>
    </w:p>
    <w:p w14:paraId="5BFA310D">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To overcome these limitations and bridge the gap between cyber early warning and physical hydraulic operation, this study advances an integrated co-simulation and resilience evaluation framework applied to the benchmark Anytown urban water distribution network under a total source interruption scenario. Specifically, this work addresses three core objectives: first, to eliminate the catastrophic zero-supply collapse caused by rapid, uncurtailed tank depletion during total water source outages by establishing an automated, closed-loop emergency response strategy; second, to construct an integrated CPS co-simulation framework utilizing EPANET 2.2 Pressure-Driven Analysis (PDA) within the WNTR Python environment, coupling real-time SCADA tank level monitoring with a graded emergency demand-management control protocol (70% / 40% / 20% demand multipliers); and third, to quantitatively unpack the time-difference buffer mechanism, demonstrating how early cyber detection converts passive physical tank storage into an active resilience resource that extends supply duration, preserves pipeline head, and maximizes delivered water volume.</w:t>
      </w:r>
    </w:p>
    <w:p w14:paraId="12C823FB">
      <w:pPr>
        <w:numPr>
          <w:ilvl w:val="0"/>
          <w:numId w:val="0"/>
        </w:numPr>
        <w:ind w:leftChars="0"/>
        <w:jc w:val="both"/>
        <w:rPr>
          <w:rFonts w:hint="default" w:ascii="Times New Roman" w:hAnsi="Times New Roman" w:cs="Times New Roman"/>
          <w:i/>
          <w:iCs/>
          <w:sz w:val="24"/>
          <w:szCs w:val="24"/>
          <w:lang w:val="en-US" w:eastAsia="zh-CN"/>
        </w:rPr>
      </w:pPr>
    </w:p>
    <w:p w14:paraId="69781248">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sz w:val="24"/>
          <w:szCs w:val="24"/>
          <w:lang w:val="en-US" w:eastAsia="zh-CN"/>
        </w:rPr>
      </w:pPr>
      <w:r>
        <w:rPr>
          <w:rFonts w:hint="default" w:ascii="Georgia" w:hAnsi="Georgia" w:eastAsia="等线" w:cs="Times New Roman"/>
          <w:b/>
          <w:bCs/>
          <w:i/>
          <w:iCs/>
          <w:sz w:val="24"/>
          <w:szCs w:val="24"/>
          <w:lang w:val="en-US" w:eastAsia="zh-CN"/>
        </w:rPr>
        <w:t>Comment 3: Materials and Methods</w:t>
      </w:r>
    </w:p>
    <w:p w14:paraId="77E593FF">
      <w:pPr>
        <w:jc w:val="both"/>
        <w:rPr>
          <w:rFonts w:hint="default" w:ascii="Times New Roman" w:hAnsi="Times New Roman" w:cs="Times New Roman"/>
          <w:i/>
          <w:iCs/>
          <w:sz w:val="24"/>
          <w:szCs w:val="24"/>
          <w:lang w:val="en-US" w:eastAsia="zh-CN"/>
        </w:rPr>
      </w:pPr>
      <w:r>
        <w:rPr>
          <w:rFonts w:hint="default" w:ascii="Times New Roman" w:hAnsi="Times New Roman" w:cs="Times New Roman"/>
          <w:b/>
          <w:bCs/>
          <w:i/>
          <w:iCs/>
          <w:sz w:val="24"/>
          <w:szCs w:val="24"/>
          <w:lang w:val="en-US" w:eastAsia="zh-CN"/>
        </w:rPr>
        <w:t>Reviewer Comment:</w:t>
      </w:r>
    </w:p>
    <w:p w14:paraId="52280816">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current model assumes ideal conditions including error-free sensors, zero communication delay and no data loss. Please add a dedicated section to list all ideal assumptions explicitly, and discuss their potential impacts on simulation results in practical engineering.</w:t>
      </w:r>
    </w:p>
    <w:p w14:paraId="391180A8">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pressure threshold refers to GB 50013-2018, while the water level thresholds for five risk states (Normal, Warning, Alert, Critical, Outlet Failure) are given without explanation. Please specify the basis for threshold division (engineering experience, published literature or numerical trial calculation).</w:t>
      </w:r>
    </w:p>
    <w:p w14:paraId="2A21E291">
      <w:pPr>
        <w:jc w:val="both"/>
        <w:rPr>
          <w:rFonts w:hint="default" w:ascii="Times New Roman" w:hAnsi="Times New Roman" w:cs="Times New Roman"/>
          <w:b/>
          <w:bCs/>
          <w:i w:val="0"/>
          <w:iCs w:val="0"/>
          <w:sz w:val="24"/>
          <w:szCs w:val="24"/>
          <w:lang w:val="en-US" w:eastAsia="zh-CN"/>
        </w:rPr>
      </w:pPr>
    </w:p>
    <w:p w14:paraId="23D850C1">
      <w:pPr>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r>
        <w:rPr>
          <w:rFonts w:hint="eastAsia" w:ascii="Times New Roman" w:hAnsi="Times New Roman" w:cs="Times New Roman"/>
          <w:b/>
          <w:bCs/>
          <w:i w:val="0"/>
          <w:iCs w:val="0"/>
          <w:sz w:val="24"/>
          <w:szCs w:val="24"/>
          <w:lang w:val="en-US" w:eastAsia="zh-CN"/>
        </w:rPr>
        <w:t>:</w:t>
      </w:r>
    </w:p>
    <w:p w14:paraId="608A7FA6">
      <w:pPr>
        <w:numPr>
          <w:ilvl w:val="0"/>
          <w:numId w:val="0"/>
        </w:numPr>
        <w:ind w:leftChars="0"/>
        <w:jc w:val="both"/>
        <w:rPr>
          <w:rFonts w:hint="default" w:ascii="Times New Roman" w:hAnsi="Times New Roman" w:cs="Times New Roman"/>
          <w:i w:val="0"/>
          <w:iCs w:val="0"/>
          <w:sz w:val="24"/>
          <w:szCs w:val="24"/>
          <w:lang w:val="en-US" w:eastAsia="zh-CN"/>
        </w:rPr>
      </w:pPr>
      <w:r>
        <w:rPr>
          <w:rFonts w:hint="default" w:ascii="Times New Roman" w:hAnsi="Times New Roman" w:cs="Times New Roman"/>
          <w:i w:val="0"/>
          <w:iCs w:val="0"/>
          <w:sz w:val="24"/>
          <w:szCs w:val="24"/>
          <w:lang w:val="en-US" w:eastAsia="zh-CN"/>
        </w:rPr>
        <w:t>We fully agree with Reviewer on both counts. We acknowledge that the original manuscript lacked a dedicated, transparent discussion of modeling assumptions and did not provide sufficient engineering and physical justification for the five water level risk thresholds.</w:t>
      </w:r>
    </w:p>
    <w:p w14:paraId="5919AC18">
      <w:pPr>
        <w:numPr>
          <w:ilvl w:val="0"/>
          <w:numId w:val="0"/>
        </w:numPr>
        <w:ind w:leftChars="0"/>
        <w:jc w:val="both"/>
        <w:rPr>
          <w:rFonts w:hint="default" w:ascii="Times New Roman" w:hAnsi="Times New Roman" w:cs="Times New Roman"/>
          <w:i w:val="0"/>
          <w:iCs w:val="0"/>
          <w:sz w:val="24"/>
          <w:szCs w:val="24"/>
          <w:lang w:val="en-US" w:eastAsia="zh-CN"/>
        </w:rPr>
      </w:pPr>
    </w:p>
    <w:p w14:paraId="2A5DD363">
      <w:pPr>
        <w:numPr>
          <w:ilvl w:val="0"/>
          <w:numId w:val="0"/>
        </w:numPr>
        <w:ind w:leftChars="0"/>
        <w:jc w:val="both"/>
        <w:rPr>
          <w:rFonts w:hint="default" w:ascii="Times New Roman" w:hAnsi="Times New Roman" w:cs="Times New Roman"/>
          <w:i w:val="0"/>
          <w:iCs w:val="0"/>
          <w:sz w:val="24"/>
          <w:szCs w:val="24"/>
          <w:lang w:val="en-US" w:eastAsia="zh-CN"/>
        </w:rPr>
      </w:pPr>
      <w:r>
        <w:rPr>
          <w:rFonts w:hint="default" w:ascii="Times New Roman" w:hAnsi="Times New Roman" w:cs="Times New Roman"/>
          <w:i w:val="0"/>
          <w:iCs w:val="0"/>
          <w:sz w:val="24"/>
          <w:szCs w:val="24"/>
          <w:lang w:val="en-US" w:eastAsia="zh-CN"/>
        </w:rPr>
        <w:t>In the revised manuscript, we have restructured Section 2 (Methodology) into a highly logical workflow (2.1 Benchmark Network &amp; Co-Simulation Platform</w:t>
      </w:r>
      <w:r>
        <w:rPr>
          <w:rFonts w:hint="eastAsia" w:ascii="Times New Roman" w:hAnsi="Times New Roman" w:cs="Times New Roman"/>
          <w:i w:val="0"/>
          <w:iCs w:val="0"/>
          <w:sz w:val="24"/>
          <w:szCs w:val="24"/>
          <w:lang w:val="en-US" w:eastAsia="zh-CN"/>
        </w:rPr>
        <w:t xml:space="preserve">, </w:t>
      </w:r>
      <w:r>
        <w:rPr>
          <w:rFonts w:hint="default" w:ascii="Times New Roman" w:hAnsi="Times New Roman" w:cs="Times New Roman"/>
          <w:i w:val="0"/>
          <w:iCs w:val="0"/>
          <w:sz w:val="24"/>
          <w:szCs w:val="24"/>
          <w:lang w:val="en-US" w:eastAsia="zh-CN"/>
        </w:rPr>
        <w:t>2.2 Idealized Assumptions</w:t>
      </w:r>
      <w:r>
        <w:rPr>
          <w:rFonts w:hint="eastAsia" w:ascii="Times New Roman" w:hAnsi="Times New Roman" w:cs="Times New Roman"/>
          <w:i w:val="0"/>
          <w:iCs w:val="0"/>
          <w:sz w:val="24"/>
          <w:szCs w:val="24"/>
          <w:lang w:val="en-US" w:eastAsia="zh-CN"/>
        </w:rPr>
        <w:t xml:space="preserve">, </w:t>
      </w:r>
      <w:r>
        <w:rPr>
          <w:rFonts w:hint="default" w:ascii="Times New Roman" w:hAnsi="Times New Roman" w:cs="Times New Roman"/>
          <w:i w:val="0"/>
          <w:iCs w:val="0"/>
          <w:sz w:val="24"/>
          <w:szCs w:val="24"/>
          <w:lang w:val="en-US" w:eastAsia="zh-CN"/>
        </w:rPr>
        <w:t>2.3 EWM Control Logic</w:t>
      </w:r>
      <w:r>
        <w:rPr>
          <w:rFonts w:hint="eastAsia" w:ascii="Times New Roman" w:hAnsi="Times New Roman" w:cs="Times New Roman"/>
          <w:i w:val="0"/>
          <w:iCs w:val="0"/>
          <w:sz w:val="24"/>
          <w:szCs w:val="24"/>
          <w:lang w:val="en-US" w:eastAsia="zh-CN"/>
        </w:rPr>
        <w:t xml:space="preserve">, </w:t>
      </w:r>
      <w:r>
        <w:rPr>
          <w:rFonts w:hint="default" w:ascii="Times New Roman" w:hAnsi="Times New Roman" w:cs="Times New Roman"/>
          <w:i w:val="0"/>
          <w:iCs w:val="0"/>
          <w:sz w:val="24"/>
          <w:szCs w:val="24"/>
          <w:lang w:val="en-US" w:eastAsia="zh-CN"/>
        </w:rPr>
        <w:t>2.4 Experimental Control</w:t>
      </w:r>
      <w:r>
        <w:rPr>
          <w:rFonts w:hint="eastAsia" w:ascii="Times New Roman" w:hAnsi="Times New Roman" w:cs="Times New Roman"/>
          <w:i w:val="0"/>
          <w:iCs w:val="0"/>
          <w:sz w:val="24"/>
          <w:szCs w:val="24"/>
          <w:lang w:val="en-US" w:eastAsia="zh-CN"/>
        </w:rPr>
        <w:t xml:space="preserve">, </w:t>
      </w:r>
      <w:r>
        <w:rPr>
          <w:rFonts w:hint="default" w:ascii="Times New Roman" w:hAnsi="Times New Roman" w:cs="Times New Roman"/>
          <w:i w:val="0"/>
          <w:iCs w:val="0"/>
          <w:sz w:val="24"/>
          <w:szCs w:val="24"/>
          <w:lang w:val="en-US" w:eastAsia="zh-CN"/>
        </w:rPr>
        <w:t>2.5 Resilience Metrics) and addressed both requests comprehensively:</w:t>
      </w:r>
    </w:p>
    <w:p w14:paraId="4B05F474">
      <w:pPr>
        <w:numPr>
          <w:ilvl w:val="0"/>
          <w:numId w:val="0"/>
        </w:numPr>
        <w:ind w:leftChars="0"/>
        <w:jc w:val="both"/>
        <w:rPr>
          <w:rFonts w:hint="default" w:ascii="Times New Roman" w:hAnsi="Times New Roman" w:cs="Times New Roman"/>
          <w:i w:val="0"/>
          <w:iCs w:val="0"/>
          <w:sz w:val="24"/>
          <w:szCs w:val="24"/>
          <w:lang w:val="en-US" w:eastAsia="zh-CN"/>
        </w:rPr>
      </w:pPr>
    </w:p>
    <w:p w14:paraId="18AD2F96">
      <w:pPr>
        <w:numPr>
          <w:ilvl w:val="0"/>
          <w:numId w:val="0"/>
        </w:numPr>
        <w:ind w:leftChars="0"/>
        <w:jc w:val="both"/>
        <w:rPr>
          <w:rFonts w:hint="default" w:ascii="Times New Roman" w:hAnsi="Times New Roman" w:cs="Times New Roman"/>
          <w:i w:val="0"/>
          <w:iCs w:val="0"/>
          <w:sz w:val="24"/>
          <w:szCs w:val="24"/>
          <w:lang w:val="en-US" w:eastAsia="zh-CN"/>
        </w:rPr>
      </w:pPr>
      <w:r>
        <w:rPr>
          <w:rFonts w:hint="eastAsia" w:ascii="Times New Roman" w:hAnsi="Times New Roman" w:cs="Times New Roman"/>
          <w:b/>
          <w:bCs/>
          <w:i w:val="0"/>
          <w:iCs w:val="0"/>
          <w:sz w:val="24"/>
          <w:szCs w:val="24"/>
          <w:lang w:val="en-US" w:eastAsia="zh-CN"/>
        </w:rPr>
        <w:t xml:space="preserve">1. </w:t>
      </w:r>
      <w:r>
        <w:rPr>
          <w:rFonts w:hint="default" w:ascii="Times New Roman" w:hAnsi="Times New Roman" w:cs="Times New Roman"/>
          <w:b/>
          <w:bCs/>
          <w:i w:val="0"/>
          <w:iCs w:val="0"/>
          <w:sz w:val="24"/>
          <w:szCs w:val="24"/>
          <w:lang w:val="en-US" w:eastAsia="zh-CN"/>
        </w:rPr>
        <w:t>Explicit Idealized Assumptions (2.</w:t>
      </w:r>
      <w:r>
        <w:rPr>
          <w:rFonts w:hint="eastAsia" w:ascii="Times New Roman" w:hAnsi="Times New Roman" w:cs="Times New Roman"/>
          <w:b/>
          <w:bCs/>
          <w:i w:val="0"/>
          <w:iCs w:val="0"/>
          <w:sz w:val="24"/>
          <w:szCs w:val="24"/>
          <w:lang w:val="en-US" w:eastAsia="zh-CN"/>
        </w:rPr>
        <w:t>2</w:t>
      </w:r>
      <w:r>
        <w:rPr>
          <w:rFonts w:hint="default" w:ascii="Times New Roman" w:hAnsi="Times New Roman" w:cs="Times New Roman"/>
          <w:b/>
          <w:bCs/>
          <w:i w:val="0"/>
          <w:iCs w:val="0"/>
          <w:sz w:val="24"/>
          <w:szCs w:val="24"/>
          <w:lang w:val="en-US" w:eastAsia="zh-CN"/>
        </w:rPr>
        <w:t xml:space="preserve">): </w:t>
      </w:r>
      <w:r>
        <w:rPr>
          <w:rFonts w:hint="default" w:ascii="Times New Roman" w:hAnsi="Times New Roman" w:cs="Times New Roman"/>
          <w:i w:val="0"/>
          <w:iCs w:val="0"/>
          <w:sz w:val="24"/>
          <w:szCs w:val="24"/>
          <w:lang w:val="en-US" w:eastAsia="zh-CN"/>
        </w:rPr>
        <w:t>We created a new dedicated subsection titled “2.</w:t>
      </w:r>
      <w:r>
        <w:rPr>
          <w:rFonts w:hint="eastAsia" w:ascii="Times New Roman" w:hAnsi="Times New Roman" w:cs="Times New Roman"/>
          <w:i w:val="0"/>
          <w:iCs w:val="0"/>
          <w:sz w:val="24"/>
          <w:szCs w:val="24"/>
          <w:lang w:val="en-US" w:eastAsia="zh-CN"/>
        </w:rPr>
        <w:t>2</w:t>
      </w:r>
      <w:r>
        <w:rPr>
          <w:rFonts w:hint="default" w:ascii="Times New Roman" w:hAnsi="Times New Roman" w:cs="Times New Roman"/>
          <w:i w:val="0"/>
          <w:iCs w:val="0"/>
          <w:sz w:val="24"/>
          <w:szCs w:val="24"/>
          <w:lang w:val="en-US" w:eastAsia="zh-CN"/>
        </w:rPr>
        <w:t xml:space="preserve"> Idealized Modeling Assumptions and Scope Boundaries”, featuring a summary matrix table (Table 1).</w:t>
      </w:r>
    </w:p>
    <w:p w14:paraId="2B654E1B">
      <w:pPr>
        <w:numPr>
          <w:ilvl w:val="0"/>
          <w:numId w:val="0"/>
        </w:numPr>
        <w:ind w:leftChars="0"/>
        <w:jc w:val="both"/>
        <w:rPr>
          <w:rFonts w:hint="default" w:ascii="Times New Roman" w:hAnsi="Times New Roman" w:cs="Times New Roman"/>
          <w:i w:val="0"/>
          <w:iCs w:val="0"/>
          <w:sz w:val="24"/>
          <w:szCs w:val="24"/>
          <w:lang w:val="en-US" w:eastAsia="zh-CN"/>
        </w:rPr>
      </w:pPr>
      <w:r>
        <w:rPr>
          <w:rFonts w:hint="eastAsia" w:ascii="Times New Roman" w:hAnsi="Times New Roman" w:cs="Times New Roman"/>
          <w:b/>
          <w:bCs/>
          <w:i w:val="0"/>
          <w:iCs w:val="0"/>
          <w:sz w:val="24"/>
          <w:szCs w:val="24"/>
          <w:lang w:val="en-US" w:eastAsia="zh-CN"/>
        </w:rPr>
        <w:t xml:space="preserve">2. </w:t>
      </w:r>
      <w:r>
        <w:rPr>
          <w:rFonts w:hint="default" w:ascii="Times New Roman" w:hAnsi="Times New Roman" w:cs="Times New Roman"/>
          <w:b/>
          <w:bCs/>
          <w:i w:val="0"/>
          <w:iCs w:val="0"/>
          <w:sz w:val="24"/>
          <w:szCs w:val="24"/>
          <w:lang w:val="en-US" w:eastAsia="zh-CN"/>
        </w:rPr>
        <w:t>Rationale for Five Water Level Risk Thresholds (2.</w:t>
      </w:r>
      <w:r>
        <w:rPr>
          <w:rFonts w:hint="eastAsia" w:ascii="Times New Roman" w:hAnsi="Times New Roman" w:cs="Times New Roman"/>
          <w:b/>
          <w:bCs/>
          <w:i w:val="0"/>
          <w:iCs w:val="0"/>
          <w:sz w:val="24"/>
          <w:szCs w:val="24"/>
          <w:lang w:val="en-US" w:eastAsia="zh-CN"/>
        </w:rPr>
        <w:t>3</w:t>
      </w:r>
      <w:r>
        <w:rPr>
          <w:rFonts w:hint="default" w:ascii="Times New Roman" w:hAnsi="Times New Roman" w:cs="Times New Roman"/>
          <w:b/>
          <w:bCs/>
          <w:i w:val="0"/>
          <w:iCs w:val="0"/>
          <w:sz w:val="24"/>
          <w:szCs w:val="24"/>
          <w:lang w:val="en-US" w:eastAsia="zh-CN"/>
        </w:rPr>
        <w:t>):</w:t>
      </w:r>
      <w:r>
        <w:rPr>
          <w:rFonts w:hint="default" w:ascii="Times New Roman" w:hAnsi="Times New Roman" w:cs="Times New Roman"/>
          <w:i w:val="0"/>
          <w:iCs w:val="0"/>
          <w:sz w:val="24"/>
          <w:szCs w:val="24"/>
          <w:lang w:val="en-US" w:eastAsia="zh-CN"/>
        </w:rPr>
        <w:t xml:space="preserve"> We added a detailed explanation of the physical, operational, and regulatory basis for setting the five risk thresholds (5.0 m,4.0 m,2.0 m,0.50 m)</w:t>
      </w:r>
      <w:r>
        <w:rPr>
          <w:rFonts w:hint="eastAsia" w:ascii="Times New Roman" w:hAnsi="Times New Roman" w:cs="Times New Roman"/>
          <w:i w:val="0"/>
          <w:iCs w:val="0"/>
          <w:sz w:val="24"/>
          <w:szCs w:val="24"/>
          <w:lang w:val="en-US" w:eastAsia="zh-CN"/>
        </w:rPr>
        <w:t xml:space="preserve"> in section 2.3</w:t>
      </w:r>
      <w:r>
        <w:rPr>
          <w:rFonts w:hint="default" w:ascii="Times New Roman" w:hAnsi="Times New Roman" w:cs="Times New Roman"/>
          <w:i w:val="0"/>
          <w:iCs w:val="0"/>
          <w:sz w:val="24"/>
          <w:szCs w:val="24"/>
          <w:lang w:val="en-US" w:eastAsia="zh-CN"/>
        </w:rPr>
        <w:t>.</w:t>
      </w:r>
    </w:p>
    <w:p w14:paraId="2AB6479B">
      <w:pPr>
        <w:numPr>
          <w:ilvl w:val="0"/>
          <w:numId w:val="0"/>
        </w:numPr>
        <w:ind w:leftChars="0"/>
        <w:jc w:val="both"/>
        <w:rPr>
          <w:rFonts w:hint="default" w:ascii="Times New Roman" w:hAnsi="Times New Roman" w:cs="Times New Roman"/>
          <w:i w:val="0"/>
          <w:iCs w:val="0"/>
          <w:sz w:val="24"/>
          <w:szCs w:val="24"/>
          <w:lang w:val="en-US" w:eastAsia="zh-CN"/>
        </w:rPr>
      </w:pPr>
    </w:p>
    <w:p w14:paraId="6CA45530">
      <w:pPr>
        <w:jc w:val="both"/>
        <w:rPr>
          <w:rFonts w:hint="eastAsia"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Changes in Manuscript</w:t>
      </w:r>
      <w:r>
        <w:rPr>
          <w:rFonts w:hint="eastAsia" w:ascii="Times New Roman" w:hAnsi="Times New Roman" w:cs="Times New Roman"/>
          <w:b/>
          <w:bCs/>
          <w:i w:val="0"/>
          <w:iCs w:val="0"/>
          <w:sz w:val="24"/>
          <w:szCs w:val="24"/>
          <w:lang w:val="en-US" w:eastAsia="zh-CN"/>
        </w:rPr>
        <w:t>:</w:t>
      </w:r>
    </w:p>
    <w:p w14:paraId="6C7AD7ED">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Sections 2.</w:t>
      </w:r>
      <w:r>
        <w:rPr>
          <w:rFonts w:hint="eastAsia" w:ascii="Times New Roman" w:hAnsi="Times New Roman" w:cs="Times New Roman"/>
          <w:i/>
          <w:iCs/>
          <w:sz w:val="24"/>
          <w:szCs w:val="24"/>
          <w:lang w:val="en-US" w:eastAsia="zh-CN"/>
        </w:rPr>
        <w:t>2</w:t>
      </w:r>
      <w:r>
        <w:rPr>
          <w:rFonts w:hint="default" w:ascii="Times New Roman" w:hAnsi="Times New Roman" w:cs="Times New Roman"/>
          <w:i/>
          <w:iCs/>
          <w:sz w:val="24"/>
          <w:szCs w:val="24"/>
          <w:lang w:val="en-US" w:eastAsia="zh-CN"/>
        </w:rPr>
        <w:t xml:space="preserve"> and 2.</w:t>
      </w:r>
      <w:r>
        <w:rPr>
          <w:rFonts w:hint="eastAsia" w:ascii="Times New Roman" w:hAnsi="Times New Roman" w:cs="Times New Roman"/>
          <w:i/>
          <w:iCs/>
          <w:sz w:val="24"/>
          <w:szCs w:val="24"/>
          <w:lang w:val="en-US" w:eastAsia="zh-CN"/>
        </w:rPr>
        <w:t>3</w:t>
      </w:r>
      <w:r>
        <w:rPr>
          <w:rFonts w:hint="default" w:ascii="Times New Roman" w:hAnsi="Times New Roman" w:cs="Times New Roman"/>
          <w:i/>
          <w:iCs/>
          <w:sz w:val="24"/>
          <w:szCs w:val="24"/>
          <w:lang w:val="en-US" w:eastAsia="zh-CN"/>
        </w:rPr>
        <w:t xml:space="preserve"> in the revised manuscript now read as follows:</w:t>
      </w:r>
    </w:p>
    <w:p w14:paraId="161A714C">
      <w:pPr>
        <w:numPr>
          <w:ilvl w:val="0"/>
          <w:numId w:val="0"/>
        </w:numPr>
        <w:ind w:leftChars="0"/>
        <w:jc w:val="both"/>
        <w:rPr>
          <w:rFonts w:hint="default" w:ascii="Times New Roman" w:hAnsi="Times New Roman" w:cs="Times New Roman"/>
          <w:i/>
          <w:iCs/>
          <w:sz w:val="24"/>
          <w:szCs w:val="24"/>
          <w:lang w:val="en-US" w:eastAsia="zh-CN"/>
        </w:rPr>
      </w:pPr>
    </w:p>
    <w:p w14:paraId="1F1B96E1">
      <w:pPr>
        <w:numPr>
          <w:ilvl w:val="0"/>
          <w:numId w:val="0"/>
        </w:numPr>
        <w:ind w:leftChars="0"/>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2.</w:t>
      </w:r>
      <w:r>
        <w:rPr>
          <w:rFonts w:hint="eastAsia" w:ascii="Times New Roman" w:hAnsi="Times New Roman" w:cs="Times New Roman"/>
          <w:b/>
          <w:bCs/>
          <w:i/>
          <w:iCs/>
          <w:sz w:val="24"/>
          <w:szCs w:val="24"/>
          <w:lang w:val="en-US" w:eastAsia="zh-CN"/>
        </w:rPr>
        <w:t>2</w:t>
      </w:r>
      <w:r>
        <w:rPr>
          <w:rFonts w:hint="default" w:ascii="Times New Roman" w:hAnsi="Times New Roman" w:cs="Times New Roman"/>
          <w:b/>
          <w:bCs/>
          <w:i/>
          <w:iCs/>
          <w:sz w:val="24"/>
          <w:szCs w:val="24"/>
          <w:lang w:val="en-US" w:eastAsia="zh-CN"/>
        </w:rPr>
        <w:t xml:space="preserve"> Idealized Modeling Assumptions and Scope Boundaries</w:t>
      </w:r>
    </w:p>
    <w:p w14:paraId="379E6FB8">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To establish a rigorous baseline for quantifying proactive cyber-physical resilience, the co-simulation model incorporates several idealized assumptions regarding cyber communication, control execution, and hydraulic behavior. Table 1 explicitly delineates these assumptions, assesses their potential impacts on practical engineering implementations, and outlines corresponding engineering mitigation measures.</w:t>
      </w:r>
    </w:p>
    <w:p w14:paraId="034B072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bCs/>
          <w:i/>
          <w:iCs/>
          <w:sz w:val="20"/>
          <w:szCs w:val="20"/>
          <w:lang w:val="en-US" w:eastAsia="zh-CN"/>
        </w:rPr>
      </w:pPr>
      <w:r>
        <w:rPr>
          <w:rFonts w:hint="default" w:ascii="Times New Roman" w:hAnsi="Times New Roman" w:cs="Times New Roman"/>
          <w:b/>
          <w:bCs/>
          <w:i/>
          <w:iCs/>
          <w:sz w:val="20"/>
          <w:szCs w:val="20"/>
          <w:lang w:val="en-US" w:eastAsia="zh-CN"/>
        </w:rPr>
        <w:t>Table 1: Explicit declaration of modeling assumptions, engineering impacts, and mitigation measures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2201"/>
        <w:gridCol w:w="2116"/>
        <w:gridCol w:w="2571"/>
      </w:tblGrid>
      <w:tr w14:paraId="47F7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09364FC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Assumption Domain</w:t>
            </w:r>
          </w:p>
        </w:tc>
        <w:tc>
          <w:tcPr>
            <w:tcW w:w="0" w:type="auto"/>
            <w:tcBorders>
              <w:top w:val="single" w:color="000000" w:sz="12" w:space="0"/>
              <w:left w:val="nil"/>
              <w:bottom w:val="single" w:color="000000" w:sz="4" w:space="0"/>
              <w:right w:val="nil"/>
            </w:tcBorders>
            <w:shd w:val="clear" w:color="auto" w:fill="FFFFFF"/>
            <w:vAlign w:val="center"/>
          </w:tcPr>
          <w:p w14:paraId="6E58667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Idealized Assumption</w:t>
            </w:r>
          </w:p>
        </w:tc>
        <w:tc>
          <w:tcPr>
            <w:tcW w:w="0" w:type="auto"/>
            <w:tcBorders>
              <w:top w:val="single" w:color="000000" w:sz="12" w:space="0"/>
              <w:left w:val="nil"/>
              <w:bottom w:val="single" w:color="000000" w:sz="4" w:space="0"/>
              <w:right w:val="nil"/>
            </w:tcBorders>
            <w:shd w:val="clear" w:color="auto" w:fill="FFFFFF"/>
            <w:vAlign w:val="center"/>
          </w:tcPr>
          <w:p w14:paraId="1F2E0C9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Potential Impact on Engineering Practice</w:t>
            </w:r>
          </w:p>
        </w:tc>
        <w:tc>
          <w:tcPr>
            <w:tcW w:w="0" w:type="auto"/>
            <w:tcBorders>
              <w:top w:val="single" w:color="000000" w:sz="12" w:space="0"/>
              <w:left w:val="nil"/>
              <w:bottom w:val="single" w:color="000000" w:sz="4" w:space="0"/>
              <w:right w:val="nil"/>
            </w:tcBorders>
            <w:shd w:val="clear" w:color="auto" w:fill="FFFFFF"/>
            <w:vAlign w:val="center"/>
          </w:tcPr>
          <w:p w14:paraId="2A4520C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Practical Engineering Mitigation Measure</w:t>
            </w:r>
          </w:p>
        </w:tc>
      </w:tr>
      <w:tr w14:paraId="5CAC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63468C1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i/>
                <w:iCs/>
                <w:color w:val="000000"/>
                <w:sz w:val="20"/>
                <w:szCs w:val="20"/>
                <w:vertAlign w:val="baseline"/>
                <w:lang w:val="en-US" w:eastAsia="zh-CN"/>
              </w:rPr>
            </w:pPr>
            <w:r>
              <w:rPr>
                <w:rFonts w:hint="default" w:ascii="Times New Roman" w:hAnsi="Times New Roman" w:cs="Times New Roman"/>
                <w:b/>
                <w:bCs/>
                <w:i/>
                <w:iCs/>
                <w:color w:val="000000"/>
                <w:sz w:val="20"/>
                <w:szCs w:val="20"/>
                <w:vertAlign w:val="baseline"/>
                <w:lang w:val="en-US" w:eastAsia="zh-CN"/>
              </w:rPr>
              <w:t>Cyber Sensing</w:t>
            </w:r>
          </w:p>
        </w:tc>
        <w:tc>
          <w:tcPr>
            <w:tcW w:w="0" w:type="auto"/>
            <w:tcBorders>
              <w:top w:val="single" w:color="000000" w:sz="4" w:space="0"/>
              <w:left w:val="nil"/>
              <w:bottom w:val="nil"/>
              <w:right w:val="nil"/>
            </w:tcBorders>
            <w:shd w:val="clear" w:color="auto" w:fill="FFFFFF"/>
            <w:vAlign w:val="center"/>
          </w:tcPr>
          <w:p w14:paraId="50F25C2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Sensors provide continuous, error-free SCADA telemetry of tank levels and pump states.</w:t>
            </w:r>
          </w:p>
        </w:tc>
        <w:tc>
          <w:tcPr>
            <w:tcW w:w="0" w:type="auto"/>
            <w:tcBorders>
              <w:top w:val="single" w:color="000000" w:sz="4" w:space="0"/>
              <w:left w:val="nil"/>
              <w:bottom w:val="nil"/>
              <w:right w:val="nil"/>
            </w:tcBorders>
            <w:shd w:val="clear" w:color="auto" w:fill="FFFFFF"/>
            <w:vAlign w:val="center"/>
          </w:tcPr>
          <w:p w14:paraId="01ECEDF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Measurement noise or sensor drift could cause premature or delayed EWM triggering.</w:t>
            </w:r>
          </w:p>
        </w:tc>
        <w:tc>
          <w:tcPr>
            <w:tcW w:w="0" w:type="auto"/>
            <w:tcBorders>
              <w:top w:val="single" w:color="000000" w:sz="4" w:space="0"/>
              <w:left w:val="nil"/>
              <w:bottom w:val="nil"/>
              <w:right w:val="nil"/>
            </w:tcBorders>
            <w:shd w:val="clear" w:color="auto" w:fill="FFFFFF"/>
            <w:vAlign w:val="center"/>
          </w:tcPr>
          <w:p w14:paraId="15904D1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Implement local Kalman filtering and dual-redundant sensor polling at tank sites.</w:t>
            </w:r>
          </w:p>
        </w:tc>
      </w:tr>
      <w:tr w14:paraId="4CDB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3513CA2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i/>
                <w:iCs/>
                <w:color w:val="000000"/>
                <w:sz w:val="20"/>
                <w:szCs w:val="20"/>
                <w:vertAlign w:val="baseline"/>
                <w:lang w:val="en-US" w:eastAsia="zh-CN"/>
              </w:rPr>
            </w:pPr>
            <w:r>
              <w:rPr>
                <w:rFonts w:hint="default" w:ascii="Times New Roman" w:hAnsi="Times New Roman" w:cs="Times New Roman"/>
                <w:b/>
                <w:bCs/>
                <w:i/>
                <w:iCs/>
                <w:color w:val="000000"/>
                <w:sz w:val="20"/>
                <w:szCs w:val="20"/>
                <w:vertAlign w:val="baseline"/>
                <w:lang w:val="en-US" w:eastAsia="zh-CN"/>
              </w:rPr>
              <w:t>Communication Network</w:t>
            </w:r>
          </w:p>
        </w:tc>
        <w:tc>
          <w:tcPr>
            <w:tcW w:w="0" w:type="auto"/>
            <w:tcBorders>
              <w:top w:val="nil"/>
              <w:left w:val="nil"/>
              <w:bottom w:val="nil"/>
              <w:right w:val="nil"/>
            </w:tcBorders>
            <w:shd w:val="clear" w:color="auto" w:fill="FFFFFF"/>
            <w:vAlign w:val="center"/>
          </w:tcPr>
          <w:p w14:paraId="35B909B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Zero transmission latency, zero packet loss, and infinite bandwidth between SCADA and PLCs.</w:t>
            </w:r>
          </w:p>
        </w:tc>
        <w:tc>
          <w:tcPr>
            <w:tcW w:w="0" w:type="auto"/>
            <w:tcBorders>
              <w:top w:val="nil"/>
              <w:left w:val="nil"/>
              <w:bottom w:val="nil"/>
              <w:right w:val="nil"/>
            </w:tcBorders>
            <w:shd w:val="clear" w:color="auto" w:fill="FFFFFF"/>
            <w:vAlign w:val="center"/>
          </w:tcPr>
          <w:p w14:paraId="078940E4">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Network congestion or signal packet loss may delay demand reduction commands by seconds to minutes.</w:t>
            </w:r>
          </w:p>
        </w:tc>
        <w:tc>
          <w:tcPr>
            <w:tcW w:w="0" w:type="auto"/>
            <w:tcBorders>
              <w:top w:val="nil"/>
              <w:left w:val="nil"/>
              <w:bottom w:val="nil"/>
              <w:right w:val="nil"/>
            </w:tcBorders>
            <w:shd w:val="clear" w:color="auto" w:fill="FFFFFF"/>
            <w:vAlign w:val="center"/>
          </w:tcPr>
          <w:p w14:paraId="1A2E441B">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Deploy edge-computing PLCs capable of autonomous threshold evaluation during network outages.</w:t>
            </w:r>
          </w:p>
        </w:tc>
      </w:tr>
      <w:tr w14:paraId="5162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E999AF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i/>
                <w:iCs/>
                <w:color w:val="000000"/>
                <w:sz w:val="20"/>
                <w:szCs w:val="20"/>
                <w:vertAlign w:val="baseline"/>
                <w:lang w:val="en-US" w:eastAsia="zh-CN"/>
              </w:rPr>
            </w:pPr>
            <w:r>
              <w:rPr>
                <w:rFonts w:hint="default" w:ascii="Times New Roman" w:hAnsi="Times New Roman" w:cs="Times New Roman"/>
                <w:b/>
                <w:bCs/>
                <w:i/>
                <w:iCs/>
                <w:color w:val="000000"/>
                <w:sz w:val="20"/>
                <w:szCs w:val="20"/>
                <w:vertAlign w:val="baseline"/>
                <w:lang w:val="en-US" w:eastAsia="zh-CN"/>
              </w:rPr>
              <w:t>Control Execution</w:t>
            </w:r>
          </w:p>
        </w:tc>
        <w:tc>
          <w:tcPr>
            <w:tcW w:w="0" w:type="auto"/>
            <w:tcBorders>
              <w:top w:val="nil"/>
              <w:left w:val="nil"/>
              <w:bottom w:val="nil"/>
              <w:right w:val="nil"/>
            </w:tcBorders>
            <w:shd w:val="clear" w:color="auto" w:fill="FFFFFF"/>
            <w:vAlign w:val="center"/>
          </w:tcPr>
          <w:p w14:paraId="2151B98B">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Nodal demand curtailment is executed instantaneously and uniformly across all customer nodes.</w:t>
            </w:r>
          </w:p>
        </w:tc>
        <w:tc>
          <w:tcPr>
            <w:tcW w:w="0" w:type="auto"/>
            <w:tcBorders>
              <w:top w:val="nil"/>
              <w:left w:val="nil"/>
              <w:bottom w:val="nil"/>
              <w:right w:val="nil"/>
            </w:tcBorders>
            <w:shd w:val="clear" w:color="auto" w:fill="FFFFFF"/>
            <w:vAlign w:val="center"/>
          </w:tcPr>
          <w:p w14:paraId="354AD14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Physical valve throttling at customer service connections requires finite mechanical actuation time.</w:t>
            </w:r>
          </w:p>
        </w:tc>
        <w:tc>
          <w:tcPr>
            <w:tcW w:w="0" w:type="auto"/>
            <w:tcBorders>
              <w:top w:val="nil"/>
              <w:left w:val="nil"/>
              <w:bottom w:val="nil"/>
              <w:right w:val="nil"/>
            </w:tcBorders>
            <w:shd w:val="clear" w:color="auto" w:fill="FFFFFF"/>
            <w:vAlign w:val="center"/>
          </w:tcPr>
          <w:p w14:paraId="36A54E4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Implement automated AMI-enabled smart meters and pressure-reducing valves (PRVs) with pre-set emergency routines.</w:t>
            </w:r>
          </w:p>
        </w:tc>
      </w:tr>
      <w:tr w14:paraId="3FF2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317CC55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i/>
                <w:iCs/>
                <w:color w:val="000000"/>
                <w:sz w:val="20"/>
                <w:szCs w:val="20"/>
                <w:vertAlign w:val="baseline"/>
                <w:lang w:val="en-US" w:eastAsia="zh-CN"/>
              </w:rPr>
            </w:pPr>
            <w:r>
              <w:rPr>
                <w:rFonts w:hint="default" w:ascii="Times New Roman" w:hAnsi="Times New Roman" w:cs="Times New Roman"/>
                <w:b/>
                <w:bCs/>
                <w:i/>
                <w:iCs/>
                <w:color w:val="000000"/>
                <w:sz w:val="20"/>
                <w:szCs w:val="20"/>
                <w:vertAlign w:val="baseline"/>
                <w:lang w:val="en-US" w:eastAsia="zh-CN"/>
              </w:rPr>
              <w:t>Hydraulic Water Quality</w:t>
            </w:r>
          </w:p>
        </w:tc>
        <w:tc>
          <w:tcPr>
            <w:tcW w:w="0" w:type="auto"/>
            <w:tcBorders>
              <w:top w:val="nil"/>
              <w:left w:val="nil"/>
              <w:bottom w:val="nil"/>
              <w:right w:val="nil"/>
            </w:tcBorders>
            <w:shd w:val="clear" w:color="auto" w:fill="FFFFFF"/>
            <w:vAlign w:val="center"/>
          </w:tcPr>
          <w:p w14:paraId="30F1039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Water quality (e.g., chlorine residual, age) is assumed non-degrading during emergency supply.</w:t>
            </w:r>
          </w:p>
        </w:tc>
        <w:tc>
          <w:tcPr>
            <w:tcW w:w="0" w:type="auto"/>
            <w:tcBorders>
              <w:top w:val="nil"/>
              <w:left w:val="nil"/>
              <w:bottom w:val="nil"/>
              <w:right w:val="nil"/>
            </w:tcBorders>
            <w:shd w:val="clear" w:color="auto" w:fill="FFFFFF"/>
            <w:vAlign w:val="center"/>
          </w:tcPr>
          <w:p w14:paraId="04EB380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Low-flow velocity during severe demand curtailment may increase water age and stagnation.</w:t>
            </w:r>
          </w:p>
        </w:tc>
        <w:tc>
          <w:tcPr>
            <w:tcW w:w="0" w:type="auto"/>
            <w:tcBorders>
              <w:top w:val="nil"/>
              <w:left w:val="nil"/>
              <w:bottom w:val="nil"/>
              <w:right w:val="nil"/>
            </w:tcBorders>
            <w:shd w:val="clear" w:color="auto" w:fill="FFFFFF"/>
            <w:vAlign w:val="center"/>
          </w:tcPr>
          <w:p w14:paraId="0BCB28C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Limit CRITICAL state duration and enforce post-event pipe flushing protocols.</w:t>
            </w:r>
          </w:p>
        </w:tc>
      </w:tr>
      <w:tr w14:paraId="332A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51D2CA1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bCs/>
                <w:i/>
                <w:iCs/>
                <w:color w:val="000000"/>
                <w:sz w:val="20"/>
                <w:szCs w:val="20"/>
                <w:vertAlign w:val="baseline"/>
                <w:lang w:val="en-US" w:eastAsia="zh-CN"/>
              </w:rPr>
              <w:t>Disturbance Scenario</w:t>
            </w:r>
          </w:p>
        </w:tc>
        <w:tc>
          <w:tcPr>
            <w:tcW w:w="0" w:type="auto"/>
            <w:tcBorders>
              <w:top w:val="nil"/>
              <w:left w:val="nil"/>
              <w:bottom w:val="single" w:color="000000" w:sz="12" w:space="0"/>
              <w:right w:val="nil"/>
            </w:tcBorders>
            <w:shd w:val="clear" w:color="auto" w:fill="FFFFFF"/>
            <w:vAlign w:val="center"/>
          </w:tcPr>
          <w:p w14:paraId="240AEF0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Water source outage is modeled as a deterministic, step-function total pump shutdown (24–48 h).</w:t>
            </w:r>
          </w:p>
        </w:tc>
        <w:tc>
          <w:tcPr>
            <w:tcW w:w="0" w:type="auto"/>
            <w:tcBorders>
              <w:top w:val="nil"/>
              <w:left w:val="nil"/>
              <w:bottom w:val="single" w:color="000000" w:sz="12" w:space="0"/>
              <w:right w:val="nil"/>
            </w:tcBorders>
            <w:shd w:val="clear" w:color="auto" w:fill="FFFFFF"/>
            <w:vAlign w:val="center"/>
          </w:tcPr>
          <w:p w14:paraId="1FB6EFC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Real-world power outages or pipe bursts may exhibit partial or cascading failure dynamics.</w:t>
            </w:r>
          </w:p>
        </w:tc>
        <w:tc>
          <w:tcPr>
            <w:tcW w:w="0" w:type="auto"/>
            <w:tcBorders>
              <w:top w:val="nil"/>
              <w:left w:val="nil"/>
              <w:bottom w:val="single" w:color="000000" w:sz="12" w:space="0"/>
              <w:right w:val="nil"/>
            </w:tcBorders>
            <w:shd w:val="clear" w:color="auto" w:fill="FFFFFF"/>
            <w:vAlign w:val="center"/>
          </w:tcPr>
          <w:p w14:paraId="2625A01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i/>
                <w:iCs/>
                <w:color w:val="000000"/>
                <w:sz w:val="20"/>
                <w:szCs w:val="20"/>
                <w:vertAlign w:val="baseline"/>
                <w:lang w:val="en-US" w:eastAsia="zh-CN"/>
              </w:rPr>
            </w:pPr>
            <w:r>
              <w:rPr>
                <w:rFonts w:hint="default" w:ascii="Times New Roman" w:hAnsi="Times New Roman" w:cs="Times New Roman"/>
                <w:b w:val="0"/>
                <w:i/>
                <w:iCs/>
                <w:color w:val="000000"/>
                <w:sz w:val="20"/>
                <w:szCs w:val="20"/>
                <w:vertAlign w:val="baseline"/>
                <w:lang w:val="en-US" w:eastAsia="zh-CN"/>
              </w:rPr>
              <w:t>Conduct multi-factor sensitivity analysis across varying outage durations (12–48 h).</w:t>
            </w:r>
          </w:p>
        </w:tc>
      </w:tr>
    </w:tbl>
    <w:p w14:paraId="5C11AD57">
      <w:pPr>
        <w:numPr>
          <w:ilvl w:val="0"/>
          <w:numId w:val="0"/>
        </w:numPr>
        <w:ind w:leftChars="0"/>
        <w:jc w:val="both"/>
        <w:rPr>
          <w:rFonts w:hint="default" w:ascii="Times New Roman" w:hAnsi="Times New Roman" w:cs="Times New Roman"/>
          <w:b/>
          <w:bCs/>
          <w:i/>
          <w:iCs/>
          <w:sz w:val="24"/>
          <w:szCs w:val="24"/>
          <w:lang w:val="en-US" w:eastAsia="zh-CN"/>
        </w:rPr>
      </w:pPr>
    </w:p>
    <w:p w14:paraId="323F5CC5">
      <w:pPr>
        <w:numPr>
          <w:ilvl w:val="0"/>
          <w:numId w:val="0"/>
        </w:numPr>
        <w:ind w:leftChars="0"/>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2.</w:t>
      </w:r>
      <w:r>
        <w:rPr>
          <w:rFonts w:hint="eastAsia" w:ascii="Times New Roman" w:hAnsi="Times New Roman" w:cs="Times New Roman"/>
          <w:b/>
          <w:bCs/>
          <w:i/>
          <w:iCs/>
          <w:sz w:val="24"/>
          <w:szCs w:val="24"/>
          <w:lang w:val="en-US" w:eastAsia="zh-CN"/>
        </w:rPr>
        <w:t>3</w:t>
      </w:r>
      <w:r>
        <w:rPr>
          <w:rFonts w:hint="default" w:ascii="Times New Roman" w:hAnsi="Times New Roman" w:cs="Times New Roman"/>
          <w:b/>
          <w:bCs/>
          <w:i/>
          <w:iCs/>
          <w:sz w:val="24"/>
          <w:szCs w:val="24"/>
          <w:lang w:val="en-US" w:eastAsia="zh-CN"/>
        </w:rPr>
        <w:t xml:space="preserve"> Cyber-Physical Early Warning Mechanism and Graded Demand Management</w:t>
      </w:r>
    </w:p>
    <w:p w14:paraId="05E4205D">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Rather than functioning merely as a passive status logger or alarm monitor, the Cyber-Physical Early Warning Mechanism (EWM) operationalizes early risk detection into concrete, closed-loop emergency hydraulic interventions. As illustrated in the three-layer CPS architecture in Fig. 3, the system integrates three tightly coupled layers: the Cyber Sensing Layer, where SCADA sensors poll tank water levels Htank(t) and pump operational statuses Spump(t) at 300-s intervals, transmitting telemetry signals through a gateway interface to the cyber control layer; the Cyber Control Layer, where upon receiving confirmation of a water source outage (pump shutdown S_{pump} = 0 at t = 24 h), the cyber controller evaluates current tank levels against pre-established operational risk thresholds (5.0 m, 4.0 m, 2.0 m, 0.50 m), enforcing a monotonic ratchet constraint </w:t>
      </w:r>
      <m:oMath>
        <m:d>
          <m:dPr>
            <m:ctrlPr>
              <w:rPr>
                <w:rFonts w:hint="default" w:ascii="Cambria Math" w:hAnsi="Cambria Math" w:cs="Cambria Math"/>
                <w:i/>
                <w:iCs/>
                <w:kern w:val="2"/>
                <w:sz w:val="24"/>
                <w:szCs w:val="24"/>
                <w:lang w:val="en-US" w:bidi="ar-SA"/>
              </w:rPr>
            </m:ctrlPr>
          </m:dPr>
          <m:e>
            <m:sSub>
              <m:sSubPr>
                <m:ctrlPr>
                  <w:rPr>
                    <w:rFonts w:ascii="Cambria Math" w:hAnsi="Cambria Math" w:cs="Times New Roman"/>
                    <w:i/>
                    <w:iCs/>
                    <w:kern w:val="2"/>
                    <w:sz w:val="24"/>
                    <w:szCs w:val="24"/>
                    <w:lang w:val="en-US" w:bidi="ar-SA"/>
                  </w:rPr>
                </m:ctrlPr>
              </m:sSubPr>
              <m:e>
                <m:r>
                  <m:rPr/>
                  <w:rPr>
                    <w:rFonts w:ascii="Cambria Math" w:hAnsi="Cambria Math" w:cs="Times New Roman"/>
                    <w:kern w:val="2"/>
                    <w:sz w:val="24"/>
                    <w:szCs w:val="24"/>
                    <w:lang w:val="en-US" w:bidi="ar-SA"/>
                  </w:rPr>
                  <m:t>γ</m:t>
                </m:r>
                <m:ctrlPr>
                  <w:rPr>
                    <w:rFonts w:ascii="Cambria Math" w:hAnsi="Cambria Math" w:cs="Times New Roman"/>
                    <w:i/>
                    <w:iCs/>
                    <w:kern w:val="2"/>
                    <w:sz w:val="24"/>
                    <w:szCs w:val="24"/>
                    <w:lang w:val="en-US" w:bidi="ar-SA"/>
                  </w:rPr>
                </m:ctrlPr>
              </m:e>
              <m:sub>
                <m:r>
                  <m:rPr/>
                  <w:rPr>
                    <w:rFonts w:hint="default" w:ascii="Cambria Math" w:hAnsi="Cambria Math" w:cs="Times New Roman"/>
                    <w:kern w:val="2"/>
                    <w:sz w:val="24"/>
                    <w:szCs w:val="24"/>
                    <w:lang w:val="en-US" w:eastAsia="zh-CN" w:bidi="ar-SA"/>
                  </w:rPr>
                  <m:t>t</m:t>
                </m:r>
                <m:ctrlPr>
                  <w:rPr>
                    <w:rFonts w:ascii="Cambria Math" w:hAnsi="Cambria Math" w:cs="Times New Roman"/>
                    <w:i/>
                    <w:iCs/>
                    <w:kern w:val="2"/>
                    <w:sz w:val="24"/>
                    <w:szCs w:val="24"/>
                    <w:lang w:val="en-US"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iCs/>
                    <w:kern w:val="2"/>
                    <w:sz w:val="24"/>
                    <w:szCs w:val="24"/>
                    <w:lang w:val="en-US" w:bidi="ar-SA"/>
                  </w:rPr>
                </m:ctrlPr>
              </m:sSubPr>
              <m:e>
                <m:r>
                  <m:rPr/>
                  <w:rPr>
                    <w:rFonts w:ascii="Cambria Math" w:hAnsi="Cambria Math" w:cs="Cambria Math"/>
                    <w:kern w:val="2"/>
                    <w:sz w:val="24"/>
                    <w:szCs w:val="24"/>
                    <w:lang w:val="en-US" w:bidi="ar-SA"/>
                  </w:rPr>
                  <m:t>γ</m:t>
                </m:r>
                <m:ctrlPr>
                  <w:rPr>
                    <w:rFonts w:hint="default"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t</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1</m:t>
                </m:r>
                <m:ctrlPr>
                  <w:rPr>
                    <w:rFonts w:hint="default" w:ascii="Cambria Math" w:hAnsi="Cambria Math" w:cs="Cambria Math"/>
                    <w:i/>
                    <w:iCs/>
                    <w:kern w:val="2"/>
                    <w:sz w:val="24"/>
                    <w:szCs w:val="24"/>
                    <w:lang w:val="en-US" w:bidi="ar-SA"/>
                  </w:rPr>
                </m:ctrlPr>
              </m:sub>
            </m:sSub>
            <m:ctrlPr>
              <w:rPr>
                <w:rFonts w:hint="default" w:ascii="Cambria Math" w:hAnsi="Cambria Math" w:cs="Cambria Math"/>
                <w:i/>
                <w:iCs/>
                <w:kern w:val="2"/>
                <w:sz w:val="24"/>
                <w:szCs w:val="24"/>
                <w:lang w:val="en-US" w:bidi="ar-SA"/>
              </w:rPr>
            </m:ctrlPr>
          </m:e>
        </m:d>
      </m:oMath>
      <w:r>
        <w:rPr>
          <w:rFonts w:hint="default" w:ascii="Times New Roman" w:hAnsi="Times New Roman" w:cs="Times New Roman"/>
          <w:i/>
          <w:iCs/>
          <w:sz w:val="24"/>
          <w:szCs w:val="24"/>
          <w:lang w:val="en-US" w:eastAsia="zh-CN"/>
        </w:rPr>
        <w:t xml:space="preserve"> to prevent control chattering and issuing state-dependent demand reduction multipliers (γ ∈ {1.00, 0.70, 0.40, 0.20}); and the Physical Hydraulic Layer, where demand reduction commands are executed at distribution junctions, throttling consumer outflow, slowing tank volumetric drainage (d H_{tank} / dt = (Q_{in} - Q_{out}) / A_{tank}), keeping tank outlet pipes submerged above 0.50 m, and maintaining pipeline pressure above the 0.10 MPa (≈ 10 m) emergency threshold.</w:t>
      </w:r>
    </w:p>
    <w:p w14:paraId="78B49BD4">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hAnsi="Cambria Math" w:cs="Cambria Math"/>
          <w:b w:val="0"/>
          <w:i/>
          <w:iCs/>
          <w:kern w:val="2"/>
          <w:sz w:val="24"/>
          <w:szCs w:val="24"/>
          <w:lang w:val="en-US" w:eastAsia="zh-CN" w:bidi="ar-SA"/>
        </w:rPr>
      </w:pPr>
      <m:oMathPara>
        <m:oMath>
          <m:r>
            <m:rPr/>
            <w:rPr>
              <w:rFonts w:hint="default" w:ascii="Cambria Math" w:hAnsi="Cambria Math" w:cs="Times New Roman"/>
              <w:kern w:val="2"/>
              <w:sz w:val="24"/>
              <w:szCs w:val="24"/>
              <w:lang w:val="en-US" w:eastAsia="zh-CN" w:bidi="ar-SA"/>
            </w:rPr>
            <m:t>Demand</m:t>
          </m:r>
          <m:d>
            <m:dPr>
              <m:ctrlPr>
                <w:rPr>
                  <w:rFonts w:hint="default" w:ascii="Cambria Math" w:hAnsi="Cambria Math" w:cs="Times New Roman"/>
                  <w:i/>
                  <w:iCs/>
                  <w:kern w:val="2"/>
                  <w:sz w:val="24"/>
                  <w:szCs w:val="24"/>
                  <w:lang w:val="en-US" w:eastAsia="zh-CN" w:bidi="ar-SA"/>
                </w:rPr>
              </m:ctrlPr>
            </m:dPr>
            <m:e>
              <m:r>
                <m:rPr/>
                <w:rPr>
                  <w:rFonts w:hint="default" w:ascii="Cambria Math" w:hAnsi="Cambria Math" w:cs="Times New Roman"/>
                  <w:kern w:val="2"/>
                  <w:sz w:val="24"/>
                  <w:szCs w:val="24"/>
                  <w:lang w:val="en-US" w:eastAsia="zh-CN" w:bidi="ar-SA"/>
                </w:rPr>
                <m:t>j, t</m:t>
              </m:r>
              <m:ctrlPr>
                <w:rPr>
                  <w:rFonts w:hint="default" w:ascii="Cambria Math" w:hAnsi="Cambria Math" w:cs="Times New Roman"/>
                  <w:i/>
                  <w:iCs/>
                  <w:kern w:val="2"/>
                  <w:sz w:val="24"/>
                  <w:szCs w:val="24"/>
                  <w:lang w:val="en-US" w:eastAsia="zh-CN" w:bidi="ar-SA"/>
                </w:rPr>
              </m:ctrlPr>
            </m:e>
          </m:d>
          <m:r>
            <m:rPr/>
            <w:rPr>
              <w:rFonts w:hint="default" w:ascii="Cambria Math" w:hAnsi="Cambria Math" w:cs="Cambria Math"/>
              <w:kern w:val="2"/>
              <w:sz w:val="24"/>
              <w:szCs w:val="24"/>
              <w:lang w:val="en-US" w:eastAsia="zh-CN" w:bidi="ar-SA"/>
            </w:rPr>
            <m:t>=γ</m:t>
          </m:r>
          <m:d>
            <m:dPr>
              <m:ctrlPr>
                <w:rPr>
                  <w:rFonts w:hint="default" w:ascii="Cambria Math" w:hAnsi="Cambria Math" w:cs="Cambria Math"/>
                  <w:b w:val="0"/>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b w:val="0"/>
                  <w:i/>
                  <w:iCs/>
                  <w:kern w:val="2"/>
                  <w:sz w:val="24"/>
                  <w:szCs w:val="24"/>
                  <w:lang w:val="en-US" w:eastAsia="zh-CN" w:bidi="ar-SA"/>
                </w:rPr>
              </m:ctrlPr>
            </m:e>
          </m:d>
          <m:r>
            <m:rPr/>
            <w:rPr>
              <w:rFonts w:hint="default" w:ascii="Cambria Math" w:hAnsi="Cambria Math" w:cs="Cambria Math"/>
              <w:kern w:val="2"/>
              <w:sz w:val="24"/>
              <w:szCs w:val="24"/>
              <w:lang w:val="en-US" w:eastAsia="zh-CN" w:bidi="ar-SA"/>
            </w:rPr>
            <m:t>∙BaseDemand</m:t>
          </m:r>
          <m:d>
            <m:dPr>
              <m:ctrlPr>
                <w:rPr>
                  <w:rFonts w:hint="default" w:ascii="Cambria Math" w:hAnsi="Cambria Math" w:cs="Cambria Math"/>
                  <w:b w:val="0"/>
                  <w:i/>
                  <w:iCs/>
                  <w:kern w:val="2"/>
                  <w:sz w:val="24"/>
                  <w:szCs w:val="24"/>
                  <w:lang w:val="en-US" w:eastAsia="zh-CN" w:bidi="ar-SA"/>
                </w:rPr>
              </m:ctrlPr>
            </m:dPr>
            <m:e>
              <m:r>
                <m:rPr/>
                <w:rPr>
                  <w:rFonts w:hint="default" w:ascii="Cambria Math" w:hAnsi="Cambria Math" w:cs="Cambria Math"/>
                  <w:kern w:val="2"/>
                  <w:sz w:val="24"/>
                  <w:szCs w:val="24"/>
                  <w:lang w:val="en-US" w:eastAsia="zh-CN" w:bidi="ar-SA"/>
                </w:rPr>
                <m:t>j</m:t>
              </m:r>
              <m:ctrlPr>
                <w:rPr>
                  <w:rFonts w:hint="default" w:ascii="Cambria Math" w:hAnsi="Cambria Math" w:cs="Cambria Math"/>
                  <w:b w:val="0"/>
                  <w:i/>
                  <w:iCs/>
                  <w:kern w:val="2"/>
                  <w:sz w:val="24"/>
                  <w:szCs w:val="24"/>
                  <w:lang w:val="en-US" w:eastAsia="zh-CN" w:bidi="ar-SA"/>
                </w:rPr>
              </m:ctrlPr>
            </m:e>
          </m:d>
          <m:r>
            <m:rPr/>
            <w:rPr>
              <w:rFonts w:hint="default" w:ascii="Cambria Math" w:hAnsi="Cambria Math" w:cs="Cambria Math"/>
              <w:kern w:val="2"/>
              <w:sz w:val="24"/>
              <w:szCs w:val="24"/>
              <w:lang w:val="en-US" w:eastAsia="zh-CN" w:bidi="ar-SA"/>
            </w:rPr>
            <m:t>∙pattern</m:t>
          </m:r>
          <m:d>
            <m:dPr>
              <m:ctrlPr>
                <w:rPr>
                  <w:rFonts w:hint="default" w:ascii="Cambria Math" w:hAnsi="Cambria Math" w:cs="Cambria Math"/>
                  <w:b w:val="0"/>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b w:val="0"/>
                  <w:i/>
                  <w:iCs/>
                  <w:kern w:val="2"/>
                  <w:sz w:val="24"/>
                  <w:szCs w:val="24"/>
                  <w:lang w:val="en-US" w:eastAsia="zh-CN" w:bidi="ar-SA"/>
                </w:rPr>
              </m:ctrlPr>
            </m:e>
          </m:d>
        </m:oMath>
      </m:oMathPara>
    </w:p>
    <w:p w14:paraId="4CB9C8F3">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eastAsia" w:ascii="Times New Roman" w:hAnsi="Times New Roman" w:cs="Times New Roman" w:eastAsiaTheme="minorEastAsia"/>
          <w:b/>
          <w:bCs/>
          <w:color w:val="auto"/>
          <w:highlight w:val="yellow"/>
          <w:lang w:eastAsia="zh-CN"/>
        </w:rPr>
      </w:pPr>
      <w:r>
        <w:rPr>
          <w:rFonts w:hint="eastAsia" w:ascii="Times New Roman" w:hAnsi="Times New Roman" w:cs="Times New Roman" w:eastAsiaTheme="minorEastAsia"/>
          <w:b/>
          <w:bCs/>
          <w:color w:val="auto"/>
          <w:highlight w:val="none"/>
          <w:lang w:eastAsia="zh-CN"/>
        </w:rPr>
        <w:drawing>
          <wp:inline distT="0" distB="0" distL="114300" distR="114300">
            <wp:extent cx="5270500" cy="4687570"/>
            <wp:effectExtent l="0" t="0" r="0" b="11430"/>
            <wp:docPr id="10" name="图片 10"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 3"/>
                    <pic:cNvPicPr>
                      <a:picLocks noChangeAspect="1"/>
                    </pic:cNvPicPr>
                  </pic:nvPicPr>
                  <pic:blipFill>
                    <a:blip r:embed="rId4"/>
                    <a:stretch>
                      <a:fillRect/>
                    </a:stretch>
                  </pic:blipFill>
                  <pic:spPr>
                    <a:xfrm>
                      <a:off x="0" y="0"/>
                      <a:ext cx="5270500" cy="4687570"/>
                    </a:xfrm>
                    <a:prstGeom prst="rect">
                      <a:avLst/>
                    </a:prstGeom>
                  </pic:spPr>
                </pic:pic>
              </a:graphicData>
            </a:graphic>
          </wp:inline>
        </w:drawing>
      </w:r>
    </w:p>
    <w:p w14:paraId="57619286">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b/>
          <w:bCs/>
          <w:color w:val="auto"/>
          <w:highlight w:val="yellow"/>
          <w:lang w:val="en-US" w:eastAsia="zh-CN"/>
        </w:rPr>
      </w:pPr>
      <w:r>
        <w:rPr>
          <w:rFonts w:hint="default" w:ascii="Times New Roman" w:hAnsi="Times New Roman" w:cs="Times New Roman"/>
          <w:b/>
          <w:bCs/>
          <w:i w:val="0"/>
          <w:iCs w:val="0"/>
          <w:sz w:val="20"/>
          <w:szCs w:val="20"/>
          <w:lang w:val="en-US" w:eastAsia="zh-CN"/>
        </w:rPr>
        <w:t>Fig. 3. Three-layer Cyber-Physical System (CPS) architecture illustrating closed-loop interaction among Sensing, Control, and Physical Hydraulic layers.</w:t>
      </w:r>
    </w:p>
    <w:p w14:paraId="63383F0F">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Table 2: Operational trigger logic and demand management actions of EWM</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1864"/>
        <w:gridCol w:w="1138"/>
        <w:gridCol w:w="3786"/>
      </w:tblGrid>
      <w:tr w14:paraId="097D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Borders>
              <w:top w:val="single" w:color="000000" w:sz="12" w:space="0"/>
              <w:left w:val="nil"/>
              <w:bottom w:val="single" w:color="000000" w:sz="4" w:space="0"/>
              <w:right w:val="nil"/>
              <w:tl2br w:val="nil"/>
            </w:tcBorders>
            <w:shd w:val="clear" w:color="auto" w:fill="FFFFFF"/>
          </w:tcPr>
          <w:p w14:paraId="6412383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Risk State</w:t>
            </w:r>
          </w:p>
        </w:tc>
        <w:tc>
          <w:tcPr>
            <w:tcW w:w="1864" w:type="dxa"/>
            <w:tcBorders>
              <w:top w:val="single" w:color="000000" w:sz="12" w:space="0"/>
              <w:left w:val="nil"/>
              <w:bottom w:val="single" w:color="000000" w:sz="4" w:space="0"/>
              <w:right w:val="nil"/>
            </w:tcBorders>
            <w:shd w:val="clear" w:color="auto" w:fill="FFFFFF"/>
          </w:tcPr>
          <w:p w14:paraId="72FB21E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Tank Level Threshold</w:t>
            </w:r>
            <w:r>
              <w:rPr>
                <w:rFonts w:hint="eastAsia" w:ascii="Times New Roman" w:hAnsi="Times New Roman" w:cs="Times New Roman"/>
                <w:b/>
                <w:bCs w:val="0"/>
                <w:i/>
                <w:iCs/>
                <w:color w:val="000000"/>
                <w:sz w:val="20"/>
                <w:szCs w:val="20"/>
                <w:vertAlign w:val="baseline"/>
                <w:lang w:val="en-US" w:eastAsia="zh-CN"/>
              </w:rPr>
              <w:t xml:space="preserve"> </w:t>
            </w:r>
            <m:oMath>
              <m:d>
                <m:dPr>
                  <m:ctrlPr>
                    <w:rPr>
                      <w:rFonts w:ascii="Cambria Math" w:hAnsi="Cambria Math" w:cs="Times New Roman"/>
                      <w:b/>
                      <w:bCs w:val="0"/>
                      <w:i/>
                      <w:iCs/>
                      <w:color w:val="000000"/>
                      <w:sz w:val="20"/>
                      <w:szCs w:val="20"/>
                      <w:vertAlign w:val="baseline"/>
                      <w:lang w:val="en-US"/>
                    </w:rPr>
                  </m:ctrlPr>
                </m:dPr>
                <m:e>
                  <m:sSub>
                    <m:sSubPr>
                      <m:ctrlPr>
                        <w:rPr>
                          <w:rFonts w:ascii="Cambria Math" w:hAnsi="Cambria Math" w:cs="Times New Roman"/>
                          <w:b/>
                          <w:bCs w:val="0"/>
                          <w:i/>
                          <w:iCs/>
                          <w:color w:val="000000"/>
                          <w:sz w:val="20"/>
                          <w:szCs w:val="20"/>
                          <w:vertAlign w:val="baseline"/>
                          <w:lang w:val="en-US"/>
                        </w:rPr>
                      </m:ctrlPr>
                    </m:sSubPr>
                    <m:e>
                      <m:r>
                        <m:rPr>
                          <m:sty m:val="bi"/>
                        </m:rPr>
                        <w:rPr>
                          <w:rFonts w:hint="default" w:ascii="Cambria Math" w:hAnsi="Cambria Math" w:cs="Times New Roman"/>
                          <w:color w:val="000000"/>
                          <w:sz w:val="20"/>
                          <w:szCs w:val="20"/>
                          <w:vertAlign w:val="baseline"/>
                          <w:lang w:val="en-US" w:eastAsia="zh-CN"/>
                        </w:rPr>
                        <m:t>H</m:t>
                      </m:r>
                      <m:ctrlPr>
                        <w:rPr>
                          <w:rFonts w:ascii="Cambria Math" w:hAnsi="Cambria Math" w:cs="Times New Roman"/>
                          <w:b/>
                          <w:bCs w:val="0"/>
                          <w:i/>
                          <w:iCs/>
                          <w:color w:val="000000"/>
                          <w:sz w:val="20"/>
                          <w:szCs w:val="20"/>
                          <w:vertAlign w:val="baseline"/>
                          <w:lang w:val="en-US"/>
                        </w:rPr>
                      </m:ctrlPr>
                    </m:e>
                    <m:sub>
                      <m:r>
                        <m:rPr>
                          <m:sty m:val="bi"/>
                        </m:rPr>
                        <w:rPr>
                          <w:rFonts w:hint="default" w:ascii="Cambria Math" w:hAnsi="Cambria Math" w:cs="Times New Roman"/>
                          <w:color w:val="000000"/>
                          <w:sz w:val="20"/>
                          <w:szCs w:val="20"/>
                          <w:vertAlign w:val="baseline"/>
                          <w:lang w:val="en-US" w:eastAsia="zh-CN"/>
                        </w:rPr>
                        <m:t>tank</m:t>
                      </m:r>
                      <m:ctrlPr>
                        <w:rPr>
                          <w:rFonts w:ascii="Cambria Math" w:hAnsi="Cambria Math" w:cs="Times New Roman"/>
                          <w:b/>
                          <w:bCs w:val="0"/>
                          <w:i/>
                          <w:iCs/>
                          <w:color w:val="000000"/>
                          <w:sz w:val="20"/>
                          <w:szCs w:val="20"/>
                          <w:vertAlign w:val="baseline"/>
                          <w:lang w:val="en-US"/>
                        </w:rPr>
                      </m:ctrlPr>
                    </m:sub>
                  </m:sSub>
                  <m:ctrlPr>
                    <w:rPr>
                      <w:rFonts w:ascii="Cambria Math" w:hAnsi="Cambria Math" w:cs="Times New Roman"/>
                      <w:b/>
                      <w:bCs w:val="0"/>
                      <w:i/>
                      <w:iCs/>
                      <w:color w:val="000000"/>
                      <w:sz w:val="20"/>
                      <w:szCs w:val="20"/>
                      <w:vertAlign w:val="baseline"/>
                      <w:lang w:val="en-US"/>
                    </w:rPr>
                  </m:ctrlPr>
                </m:e>
              </m:d>
            </m:oMath>
          </w:p>
        </w:tc>
        <w:tc>
          <w:tcPr>
            <w:tcW w:w="1138" w:type="dxa"/>
            <w:tcBorders>
              <w:top w:val="single" w:color="000000" w:sz="12" w:space="0"/>
              <w:left w:val="nil"/>
              <w:bottom w:val="single" w:color="000000" w:sz="4" w:space="0"/>
              <w:right w:val="nil"/>
            </w:tcBorders>
            <w:shd w:val="clear" w:color="auto" w:fill="FFFFFF"/>
          </w:tcPr>
          <w:p w14:paraId="3043B50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Demand Multiplier</w:t>
            </w:r>
            <w:r>
              <w:rPr>
                <w:rFonts w:hint="eastAsia" w:ascii="Times New Roman" w:hAnsi="Times New Roman" w:cs="Times New Roman"/>
                <w:b/>
                <w:bCs w:val="0"/>
                <w:i/>
                <w:iCs/>
                <w:color w:val="000000"/>
                <w:sz w:val="20"/>
                <w:szCs w:val="20"/>
                <w:vertAlign w:val="baseline"/>
                <w:lang w:val="en-US" w:eastAsia="zh-CN"/>
              </w:rPr>
              <w:t xml:space="preserve"> </w:t>
            </w:r>
            <m:oMath>
              <m:d>
                <m:dPr>
                  <m:ctrlPr>
                    <w:rPr>
                      <w:rFonts w:ascii="Cambria Math" w:hAnsi="Cambria Math" w:cs="Times New Roman"/>
                      <w:b/>
                      <w:bCs w:val="0"/>
                      <w:i/>
                      <w:iCs/>
                      <w:color w:val="000000"/>
                      <w:sz w:val="20"/>
                      <w:szCs w:val="20"/>
                      <w:vertAlign w:val="baseline"/>
                      <w:lang w:val="en-US"/>
                    </w:rPr>
                  </m:ctrlPr>
                </m:dPr>
                <m:e>
                  <m:r>
                    <m:rPr>
                      <m:sty m:val="bi"/>
                    </m:rPr>
                    <w:rPr>
                      <w:rFonts w:hint="default" w:ascii="Cambria Math" w:hAnsi="Cambria Math" w:cs="Times New Roman"/>
                      <w:color w:val="000000"/>
                      <w:sz w:val="20"/>
                      <w:szCs w:val="20"/>
                      <w:vertAlign w:val="baseline"/>
                      <w:lang w:val="en-US"/>
                    </w:rPr>
                    <m:t>γ</m:t>
                  </m:r>
                  <m:ctrlPr>
                    <w:rPr>
                      <w:rFonts w:ascii="Cambria Math" w:hAnsi="Cambria Math" w:cs="Times New Roman"/>
                      <w:b/>
                      <w:bCs w:val="0"/>
                      <w:i/>
                      <w:iCs/>
                      <w:color w:val="000000"/>
                      <w:sz w:val="20"/>
                      <w:szCs w:val="20"/>
                      <w:vertAlign w:val="baseline"/>
                      <w:lang w:val="en-US"/>
                    </w:rPr>
                  </m:ctrlPr>
                </m:e>
              </m:d>
            </m:oMath>
          </w:p>
        </w:tc>
        <w:tc>
          <w:tcPr>
            <w:tcW w:w="3786" w:type="dxa"/>
            <w:tcBorders>
              <w:top w:val="single" w:color="000000" w:sz="12" w:space="0"/>
              <w:left w:val="nil"/>
              <w:bottom w:val="single" w:color="000000" w:sz="4" w:space="0"/>
              <w:right w:val="nil"/>
            </w:tcBorders>
            <w:shd w:val="clear" w:color="auto" w:fill="FFFFFF"/>
          </w:tcPr>
          <w:p w14:paraId="74CB0F3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Operational Action &amp; Hydraulic Effect</w:t>
            </w:r>
          </w:p>
        </w:tc>
      </w:tr>
      <w:tr w14:paraId="1135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Borders>
              <w:top w:val="single" w:color="000000" w:sz="4" w:space="0"/>
              <w:left w:val="nil"/>
              <w:bottom w:val="nil"/>
              <w:right w:val="nil"/>
            </w:tcBorders>
            <w:shd w:val="clear" w:color="auto" w:fill="FFFFFF"/>
          </w:tcPr>
          <w:p w14:paraId="78A6653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NORMAL</w:t>
            </w:r>
          </w:p>
        </w:tc>
        <w:tc>
          <w:tcPr>
            <w:tcW w:w="1864" w:type="dxa"/>
            <w:tcBorders>
              <w:top w:val="single" w:color="000000" w:sz="4" w:space="0"/>
              <w:left w:val="nil"/>
              <w:bottom w:val="nil"/>
              <w:right w:val="nil"/>
            </w:tcBorders>
            <w:shd w:val="clear" w:color="auto" w:fill="FFFFFF"/>
          </w:tcPr>
          <w:p w14:paraId="780D76A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eastAsiaTheme="minorEastAsia"/>
                <w:b w:val="0"/>
                <w:bCs/>
                <w:i/>
                <w:iCs/>
                <w:color w:val="000000"/>
                <w:sz w:val="20"/>
                <w:szCs w:val="20"/>
                <w:vertAlign w:val="baseline"/>
                <w:lang w:val="en-US" w:eastAsia="zh-CN"/>
              </w:rPr>
            </w:pPr>
            <m:oMathPara>
              <m:oMath>
                <m:sSub>
                  <m:sSubPr>
                    <m:ctrlPr>
                      <w:rPr>
                        <w:rFonts w:ascii="Cambria Math" w:hAnsi="Cambria Math" w:cs="Times New Roman"/>
                        <w:b w:val="0"/>
                        <w:bCs/>
                        <w:i/>
                        <w:iCs/>
                        <w:color w:val="000000"/>
                        <w:sz w:val="20"/>
                        <w:szCs w:val="20"/>
                        <w:vertAlign w:val="baseline"/>
                        <w:lang w:val="en-US"/>
                      </w:rPr>
                    </m:ctrlPr>
                  </m:sSubPr>
                  <m:e>
                    <m:r>
                      <m:rPr/>
                      <w:rPr>
                        <w:rFonts w:hint="default" w:ascii="Cambria Math" w:hAnsi="Cambria Math" w:cs="Times New Roman"/>
                        <w:color w:val="000000"/>
                        <w:sz w:val="20"/>
                        <w:szCs w:val="20"/>
                        <w:vertAlign w:val="baseline"/>
                        <w:lang w:val="en-US" w:eastAsia="zh-CN"/>
                      </w:rPr>
                      <m:t>H</m:t>
                    </m:r>
                    <m:ctrlPr>
                      <w:rPr>
                        <w:rFonts w:ascii="Cambria Math" w:hAnsi="Cambria Math" w:cs="Times New Roman"/>
                        <w:b w:val="0"/>
                        <w:bCs/>
                        <w:i/>
                        <w:iCs/>
                        <w:color w:val="000000"/>
                        <w:sz w:val="20"/>
                        <w:szCs w:val="20"/>
                        <w:vertAlign w:val="baseline"/>
                        <w:lang w:val="en-US"/>
                      </w:rPr>
                    </m:ctrlPr>
                  </m:e>
                  <m:sub>
                    <m:r>
                      <m:rPr/>
                      <w:rPr>
                        <w:rFonts w:hint="default" w:ascii="Cambria Math" w:hAnsi="Cambria Math" w:cs="Times New Roman"/>
                        <w:color w:val="000000"/>
                        <w:sz w:val="20"/>
                        <w:szCs w:val="20"/>
                        <w:vertAlign w:val="baseline"/>
                        <w:lang w:val="en-US" w:eastAsia="zh-CN"/>
                      </w:rPr>
                      <m:t>tank</m:t>
                    </m:r>
                    <m:ctrlPr>
                      <w:rPr>
                        <w:rFonts w:ascii="Cambria Math" w:hAnsi="Cambria Math" w:cs="Times New Roman"/>
                        <w:b w:val="0"/>
                        <w:bCs/>
                        <w:i/>
                        <w:iCs/>
                        <w:color w:val="000000"/>
                        <w:sz w:val="20"/>
                        <w:szCs w:val="20"/>
                        <w:vertAlign w:val="baseline"/>
                        <w:lang w:val="en-US"/>
                      </w:rPr>
                    </m:ctrlPr>
                  </m:sub>
                </m:sSub>
                <m:r>
                  <m:rPr/>
                  <w:rPr>
                    <w:rFonts w:hint="default" w:ascii="Cambria Math" w:hAnsi="Cambria Math" w:cs="Cambria Math"/>
                    <w:color w:val="000000"/>
                    <w:sz w:val="20"/>
                    <w:szCs w:val="20"/>
                    <w:vertAlign w:val="baseline"/>
                    <w:lang w:val="en-US"/>
                  </w:rPr>
                  <m:t>≥</m:t>
                </m:r>
                <m:r>
                  <m:rPr/>
                  <w:rPr>
                    <w:rFonts w:hint="default" w:ascii="Cambria Math" w:hAnsi="Cambria Math" w:cs="Times New Roman"/>
                    <w:color w:val="000000"/>
                    <w:sz w:val="20"/>
                    <w:szCs w:val="20"/>
                    <w:vertAlign w:val="baseline"/>
                    <w:lang w:val="en-US" w:eastAsia="zh-CN"/>
                  </w:rPr>
                  <m:t>5.0 m</m:t>
                </m:r>
              </m:oMath>
            </m:oMathPara>
          </w:p>
        </w:tc>
        <w:tc>
          <w:tcPr>
            <w:tcW w:w="1138" w:type="dxa"/>
            <w:tcBorders>
              <w:top w:val="single" w:color="000000" w:sz="4" w:space="0"/>
              <w:left w:val="nil"/>
              <w:bottom w:val="nil"/>
              <w:right w:val="nil"/>
            </w:tcBorders>
            <w:shd w:val="clear" w:color="auto" w:fill="FFFFFF"/>
          </w:tcPr>
          <w:p w14:paraId="16CE793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eastAsia" w:ascii="Times New Roman" w:hAnsi="Times New Roman" w:cs="Times New Roman"/>
                <w:b w:val="0"/>
                <w:bCs w:val="0"/>
                <w:i w:val="0"/>
                <w:iCs w:val="0"/>
                <w:color w:val="000000"/>
                <w:sz w:val="20"/>
                <w:szCs w:val="20"/>
                <w:vertAlign w:val="baseline"/>
                <w:lang w:val="en-US" w:eastAsia="zh-CN"/>
              </w:rPr>
              <w:t>1.00</w:t>
            </w:r>
          </w:p>
        </w:tc>
        <w:tc>
          <w:tcPr>
            <w:tcW w:w="3786" w:type="dxa"/>
            <w:tcBorders>
              <w:top w:val="single" w:color="000000" w:sz="4" w:space="0"/>
              <w:left w:val="nil"/>
              <w:bottom w:val="nil"/>
              <w:right w:val="nil"/>
            </w:tcBorders>
            <w:shd w:val="clear" w:color="auto" w:fill="FFFFFF"/>
          </w:tcPr>
          <w:p w14:paraId="0E407141">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Standard supply; 100% nominal demand delivered.</w:t>
            </w:r>
          </w:p>
        </w:tc>
      </w:tr>
      <w:tr w14:paraId="01C6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Borders>
              <w:top w:val="nil"/>
              <w:left w:val="nil"/>
              <w:bottom w:val="nil"/>
              <w:right w:val="nil"/>
            </w:tcBorders>
            <w:shd w:val="clear" w:color="auto" w:fill="FFFFFF"/>
          </w:tcPr>
          <w:p w14:paraId="158E20B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WARNING</w:t>
            </w:r>
          </w:p>
        </w:tc>
        <w:tc>
          <w:tcPr>
            <w:tcW w:w="1864" w:type="dxa"/>
            <w:tcBorders>
              <w:top w:val="nil"/>
              <w:left w:val="nil"/>
              <w:bottom w:val="nil"/>
              <w:right w:val="nil"/>
            </w:tcBorders>
            <w:shd w:val="clear" w:color="auto" w:fill="FFFFFF"/>
          </w:tcPr>
          <w:p w14:paraId="7D32496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ascii="Cambria Math" w:hAnsi="Cambria Math" w:cs="Times New Roman"/>
                        <w:b w:val="0"/>
                        <w:bCs/>
                        <w:i/>
                        <w:iCs/>
                        <w:color w:val="000000"/>
                        <w:sz w:val="20"/>
                        <w:szCs w:val="20"/>
                        <w:vertAlign w:val="baseline"/>
                        <w:lang w:val="en-US"/>
                      </w:rPr>
                    </m:ctrlPr>
                  </m:sSubPr>
                  <m:e>
                    <m:r>
                      <m:rPr/>
                      <w:rPr>
                        <w:rFonts w:hint="default" w:ascii="Cambria Math" w:hAnsi="Cambria Math" w:cs="Times New Roman"/>
                        <w:color w:val="000000"/>
                        <w:sz w:val="20"/>
                        <w:szCs w:val="20"/>
                        <w:vertAlign w:val="baseline"/>
                        <w:lang w:val="en-US" w:eastAsia="zh-CN"/>
                      </w:rPr>
                      <m:t>H</m:t>
                    </m:r>
                    <m:ctrlPr>
                      <w:rPr>
                        <w:rFonts w:ascii="Cambria Math" w:hAnsi="Cambria Math" w:cs="Times New Roman"/>
                        <w:b w:val="0"/>
                        <w:bCs/>
                        <w:i/>
                        <w:iCs/>
                        <w:color w:val="000000"/>
                        <w:sz w:val="20"/>
                        <w:szCs w:val="20"/>
                        <w:vertAlign w:val="baseline"/>
                        <w:lang w:val="en-US"/>
                      </w:rPr>
                    </m:ctrlPr>
                  </m:e>
                  <m:sub>
                    <m:r>
                      <m:rPr/>
                      <w:rPr>
                        <w:rFonts w:hint="default" w:ascii="Cambria Math" w:hAnsi="Cambria Math" w:cs="Times New Roman"/>
                        <w:color w:val="000000"/>
                        <w:sz w:val="20"/>
                        <w:szCs w:val="20"/>
                        <w:vertAlign w:val="baseline"/>
                        <w:lang w:val="en-US" w:eastAsia="zh-CN"/>
                      </w:rPr>
                      <m:t>tank</m:t>
                    </m:r>
                    <m:ctrlPr>
                      <w:rPr>
                        <w:rFonts w:ascii="Cambria Math" w:hAnsi="Cambria Math" w:cs="Times New Roman"/>
                        <w:b w:val="0"/>
                        <w:bCs/>
                        <w:i/>
                        <w:iCs/>
                        <w:color w:val="000000"/>
                        <w:sz w:val="20"/>
                        <w:szCs w:val="20"/>
                        <w:vertAlign w:val="baseline"/>
                        <w:lang w:val="en-US"/>
                      </w:rPr>
                    </m:ctrlPr>
                  </m:sub>
                </m:sSub>
                <m:r>
                  <m:rPr/>
                  <w:rPr>
                    <w:rFonts w:ascii="Cambria Math" w:hAnsi="Cambria Math" w:cs="Times New Roman"/>
                    <w:color w:val="000000"/>
                    <w:sz w:val="20"/>
                    <w:szCs w:val="20"/>
                    <w:vertAlign w:val="baseline"/>
                    <w:lang w:val="en-US"/>
                  </w:rPr>
                  <m:t>&lt;</m:t>
                </m:r>
                <m:r>
                  <m:rPr/>
                  <w:rPr>
                    <w:rFonts w:hint="default" w:ascii="Cambria Math" w:hAnsi="Cambria Math" w:cs="Times New Roman"/>
                    <w:color w:val="000000"/>
                    <w:sz w:val="20"/>
                    <w:szCs w:val="20"/>
                    <w:vertAlign w:val="baseline"/>
                    <w:lang w:val="en-US" w:eastAsia="zh-CN"/>
                  </w:rPr>
                  <m:t>5.0 m</m:t>
                </m:r>
              </m:oMath>
            </m:oMathPara>
          </w:p>
        </w:tc>
        <w:tc>
          <w:tcPr>
            <w:tcW w:w="1138" w:type="dxa"/>
            <w:tcBorders>
              <w:top w:val="nil"/>
              <w:left w:val="nil"/>
              <w:bottom w:val="nil"/>
              <w:right w:val="nil"/>
            </w:tcBorders>
            <w:shd w:val="clear" w:color="auto" w:fill="FFFFFF"/>
          </w:tcPr>
          <w:p w14:paraId="09F8B9E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eastAsia" w:ascii="Times New Roman" w:hAnsi="Times New Roman" w:cs="Times New Roman"/>
                <w:b w:val="0"/>
                <w:bCs w:val="0"/>
                <w:i w:val="0"/>
                <w:iCs w:val="0"/>
                <w:color w:val="000000"/>
                <w:sz w:val="20"/>
                <w:szCs w:val="20"/>
                <w:vertAlign w:val="baseline"/>
                <w:lang w:val="en-US" w:eastAsia="zh-CN"/>
              </w:rPr>
              <w:t>0.70</w:t>
            </w:r>
          </w:p>
        </w:tc>
        <w:tc>
          <w:tcPr>
            <w:tcW w:w="3786" w:type="dxa"/>
            <w:tcBorders>
              <w:top w:val="nil"/>
              <w:left w:val="nil"/>
              <w:bottom w:val="nil"/>
              <w:right w:val="nil"/>
            </w:tcBorders>
            <w:shd w:val="clear" w:color="auto" w:fill="FFFFFF"/>
          </w:tcPr>
          <w:p w14:paraId="78FEC6E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Level 1 curtailment; 30% non-essential demand shed; slows initial storage drawdown.</w:t>
            </w:r>
          </w:p>
        </w:tc>
      </w:tr>
      <w:tr w14:paraId="7532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Borders>
              <w:top w:val="nil"/>
              <w:left w:val="nil"/>
              <w:bottom w:val="nil"/>
              <w:right w:val="nil"/>
            </w:tcBorders>
            <w:shd w:val="clear" w:color="auto" w:fill="FFFFFF"/>
          </w:tcPr>
          <w:p w14:paraId="1A40882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ALERT</w:t>
            </w:r>
          </w:p>
        </w:tc>
        <w:tc>
          <w:tcPr>
            <w:tcW w:w="1864" w:type="dxa"/>
            <w:tcBorders>
              <w:top w:val="nil"/>
              <w:left w:val="nil"/>
              <w:bottom w:val="nil"/>
              <w:right w:val="nil"/>
            </w:tcBorders>
            <w:shd w:val="clear" w:color="auto" w:fill="FFFFFF"/>
          </w:tcPr>
          <w:p w14:paraId="0E6E1AB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ascii="Cambria Math" w:hAnsi="Cambria Math" w:cs="Times New Roman"/>
                        <w:b w:val="0"/>
                        <w:bCs/>
                        <w:i/>
                        <w:iCs/>
                        <w:color w:val="000000"/>
                        <w:sz w:val="20"/>
                        <w:szCs w:val="20"/>
                        <w:vertAlign w:val="baseline"/>
                        <w:lang w:val="en-US"/>
                      </w:rPr>
                    </m:ctrlPr>
                  </m:sSubPr>
                  <m:e>
                    <m:r>
                      <m:rPr/>
                      <w:rPr>
                        <w:rFonts w:hint="default" w:ascii="Cambria Math" w:hAnsi="Cambria Math" w:cs="Times New Roman"/>
                        <w:color w:val="000000"/>
                        <w:sz w:val="20"/>
                        <w:szCs w:val="20"/>
                        <w:vertAlign w:val="baseline"/>
                        <w:lang w:val="en-US" w:eastAsia="zh-CN"/>
                      </w:rPr>
                      <m:t>H</m:t>
                    </m:r>
                    <m:ctrlPr>
                      <w:rPr>
                        <w:rFonts w:ascii="Cambria Math" w:hAnsi="Cambria Math" w:cs="Times New Roman"/>
                        <w:b w:val="0"/>
                        <w:bCs/>
                        <w:i/>
                        <w:iCs/>
                        <w:color w:val="000000"/>
                        <w:sz w:val="20"/>
                        <w:szCs w:val="20"/>
                        <w:vertAlign w:val="baseline"/>
                        <w:lang w:val="en-US"/>
                      </w:rPr>
                    </m:ctrlPr>
                  </m:e>
                  <m:sub>
                    <m:r>
                      <m:rPr/>
                      <w:rPr>
                        <w:rFonts w:hint="default" w:ascii="Cambria Math" w:hAnsi="Cambria Math" w:cs="Times New Roman"/>
                        <w:color w:val="000000"/>
                        <w:sz w:val="20"/>
                        <w:szCs w:val="20"/>
                        <w:vertAlign w:val="baseline"/>
                        <w:lang w:val="en-US" w:eastAsia="zh-CN"/>
                      </w:rPr>
                      <m:t>tank</m:t>
                    </m:r>
                    <m:ctrlPr>
                      <w:rPr>
                        <w:rFonts w:ascii="Cambria Math" w:hAnsi="Cambria Math" w:cs="Times New Roman"/>
                        <w:b w:val="0"/>
                        <w:bCs/>
                        <w:i/>
                        <w:iCs/>
                        <w:color w:val="000000"/>
                        <w:sz w:val="20"/>
                        <w:szCs w:val="20"/>
                        <w:vertAlign w:val="baseline"/>
                        <w:lang w:val="en-US"/>
                      </w:rPr>
                    </m:ctrlPr>
                  </m:sub>
                </m:sSub>
                <m:r>
                  <m:rPr/>
                  <w:rPr>
                    <w:rFonts w:ascii="Cambria Math" w:hAnsi="Cambria Math" w:cs="Times New Roman"/>
                    <w:color w:val="000000"/>
                    <w:sz w:val="20"/>
                    <w:szCs w:val="20"/>
                    <w:vertAlign w:val="baseline"/>
                    <w:lang w:val="en-US"/>
                  </w:rPr>
                  <m:t>&lt;</m:t>
                </m:r>
                <m:r>
                  <m:rPr/>
                  <w:rPr>
                    <w:rFonts w:hint="default" w:ascii="Cambria Math" w:hAnsi="Cambria Math" w:cs="Times New Roman"/>
                    <w:color w:val="000000"/>
                    <w:sz w:val="20"/>
                    <w:szCs w:val="20"/>
                    <w:vertAlign w:val="baseline"/>
                    <w:lang w:val="en-US" w:eastAsia="zh-CN"/>
                  </w:rPr>
                  <m:t>4.0 m</m:t>
                </m:r>
              </m:oMath>
            </m:oMathPara>
          </w:p>
        </w:tc>
        <w:tc>
          <w:tcPr>
            <w:tcW w:w="1138" w:type="dxa"/>
            <w:tcBorders>
              <w:top w:val="nil"/>
              <w:left w:val="nil"/>
              <w:bottom w:val="nil"/>
              <w:right w:val="nil"/>
            </w:tcBorders>
            <w:shd w:val="clear" w:color="auto" w:fill="FFFFFF"/>
          </w:tcPr>
          <w:p w14:paraId="15A4FA74">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eastAsia" w:ascii="Times New Roman" w:hAnsi="Times New Roman" w:cs="Times New Roman"/>
                <w:b w:val="0"/>
                <w:bCs w:val="0"/>
                <w:i w:val="0"/>
                <w:iCs w:val="0"/>
                <w:color w:val="000000"/>
                <w:sz w:val="20"/>
                <w:szCs w:val="20"/>
                <w:vertAlign w:val="baseline"/>
                <w:lang w:val="en-US" w:eastAsia="zh-CN"/>
              </w:rPr>
              <w:t>0.40</w:t>
            </w:r>
          </w:p>
        </w:tc>
        <w:tc>
          <w:tcPr>
            <w:tcW w:w="3786" w:type="dxa"/>
            <w:tcBorders>
              <w:top w:val="nil"/>
              <w:left w:val="nil"/>
              <w:bottom w:val="nil"/>
              <w:right w:val="nil"/>
            </w:tcBorders>
            <w:shd w:val="clear" w:color="auto" w:fill="FFFFFF"/>
          </w:tcPr>
          <w:p w14:paraId="2458FEF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Level 2 curtailment; 60% demand shed; preserves pressure above critical supply head (0.10 MPa).</w:t>
            </w:r>
          </w:p>
        </w:tc>
      </w:tr>
      <w:tr w14:paraId="3C42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Borders>
              <w:top w:val="nil"/>
              <w:left w:val="nil"/>
              <w:bottom w:val="nil"/>
              <w:right w:val="nil"/>
            </w:tcBorders>
            <w:shd w:val="clear" w:color="auto" w:fill="FFFFFF"/>
          </w:tcPr>
          <w:p w14:paraId="6FA4473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CRITICAL</w:t>
            </w:r>
          </w:p>
        </w:tc>
        <w:tc>
          <w:tcPr>
            <w:tcW w:w="1864" w:type="dxa"/>
            <w:tcBorders>
              <w:top w:val="nil"/>
              <w:left w:val="nil"/>
              <w:bottom w:val="nil"/>
              <w:right w:val="nil"/>
            </w:tcBorders>
            <w:shd w:val="clear" w:color="auto" w:fill="FFFFFF"/>
          </w:tcPr>
          <w:p w14:paraId="08B9AA01">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ascii="Cambria Math" w:hAnsi="Cambria Math" w:cs="Times New Roman"/>
                        <w:b w:val="0"/>
                        <w:bCs/>
                        <w:i/>
                        <w:iCs/>
                        <w:color w:val="000000"/>
                        <w:sz w:val="20"/>
                        <w:szCs w:val="20"/>
                        <w:vertAlign w:val="baseline"/>
                        <w:lang w:val="en-US"/>
                      </w:rPr>
                    </m:ctrlPr>
                  </m:sSubPr>
                  <m:e>
                    <m:r>
                      <m:rPr/>
                      <w:rPr>
                        <w:rFonts w:hint="default" w:ascii="Cambria Math" w:hAnsi="Cambria Math" w:cs="Times New Roman"/>
                        <w:color w:val="000000"/>
                        <w:sz w:val="20"/>
                        <w:szCs w:val="20"/>
                        <w:vertAlign w:val="baseline"/>
                        <w:lang w:val="en-US" w:eastAsia="zh-CN"/>
                      </w:rPr>
                      <m:t>H</m:t>
                    </m:r>
                    <m:ctrlPr>
                      <w:rPr>
                        <w:rFonts w:ascii="Cambria Math" w:hAnsi="Cambria Math" w:cs="Times New Roman"/>
                        <w:b w:val="0"/>
                        <w:bCs/>
                        <w:i/>
                        <w:iCs/>
                        <w:color w:val="000000"/>
                        <w:sz w:val="20"/>
                        <w:szCs w:val="20"/>
                        <w:vertAlign w:val="baseline"/>
                        <w:lang w:val="en-US"/>
                      </w:rPr>
                    </m:ctrlPr>
                  </m:e>
                  <m:sub>
                    <m:r>
                      <m:rPr/>
                      <w:rPr>
                        <w:rFonts w:hint="default" w:ascii="Cambria Math" w:hAnsi="Cambria Math" w:cs="Times New Roman"/>
                        <w:color w:val="000000"/>
                        <w:sz w:val="20"/>
                        <w:szCs w:val="20"/>
                        <w:vertAlign w:val="baseline"/>
                        <w:lang w:val="en-US" w:eastAsia="zh-CN"/>
                      </w:rPr>
                      <m:t>tank</m:t>
                    </m:r>
                    <m:ctrlPr>
                      <w:rPr>
                        <w:rFonts w:ascii="Cambria Math" w:hAnsi="Cambria Math" w:cs="Times New Roman"/>
                        <w:b w:val="0"/>
                        <w:bCs/>
                        <w:i/>
                        <w:iCs/>
                        <w:color w:val="000000"/>
                        <w:sz w:val="20"/>
                        <w:szCs w:val="20"/>
                        <w:vertAlign w:val="baseline"/>
                        <w:lang w:val="en-US"/>
                      </w:rPr>
                    </m:ctrlPr>
                  </m:sub>
                </m:sSub>
                <m:r>
                  <m:rPr/>
                  <w:rPr>
                    <w:rFonts w:ascii="Cambria Math" w:hAnsi="Cambria Math" w:cs="Times New Roman"/>
                    <w:color w:val="000000"/>
                    <w:sz w:val="20"/>
                    <w:szCs w:val="20"/>
                    <w:vertAlign w:val="baseline"/>
                    <w:lang w:val="en-US"/>
                  </w:rPr>
                  <m:t>&lt;</m:t>
                </m:r>
                <m:r>
                  <m:rPr/>
                  <w:rPr>
                    <w:rFonts w:hint="default" w:ascii="Cambria Math" w:hAnsi="Cambria Math" w:cs="Times New Roman"/>
                    <w:color w:val="000000"/>
                    <w:sz w:val="20"/>
                    <w:szCs w:val="20"/>
                    <w:vertAlign w:val="baseline"/>
                    <w:lang w:val="en-US" w:eastAsia="zh-CN"/>
                  </w:rPr>
                  <m:t>2.0 m</m:t>
                </m:r>
              </m:oMath>
            </m:oMathPara>
          </w:p>
        </w:tc>
        <w:tc>
          <w:tcPr>
            <w:tcW w:w="1138" w:type="dxa"/>
            <w:tcBorders>
              <w:top w:val="nil"/>
              <w:left w:val="nil"/>
              <w:bottom w:val="nil"/>
              <w:right w:val="nil"/>
            </w:tcBorders>
            <w:shd w:val="clear" w:color="auto" w:fill="FFFFFF"/>
          </w:tcPr>
          <w:p w14:paraId="2139927D">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eastAsia" w:ascii="Times New Roman" w:hAnsi="Times New Roman" w:cs="Times New Roman"/>
                <w:b w:val="0"/>
                <w:bCs w:val="0"/>
                <w:i w:val="0"/>
                <w:iCs w:val="0"/>
                <w:color w:val="000000"/>
                <w:sz w:val="20"/>
                <w:szCs w:val="20"/>
                <w:vertAlign w:val="baseline"/>
                <w:lang w:val="en-US" w:eastAsia="zh-CN"/>
              </w:rPr>
              <w:t>0.20</w:t>
            </w:r>
          </w:p>
        </w:tc>
        <w:tc>
          <w:tcPr>
            <w:tcW w:w="3786" w:type="dxa"/>
            <w:tcBorders>
              <w:top w:val="nil"/>
              <w:left w:val="nil"/>
              <w:bottom w:val="nil"/>
              <w:right w:val="nil"/>
            </w:tcBorders>
            <w:shd w:val="clear" w:color="auto" w:fill="FFFFFF"/>
          </w:tcPr>
          <w:p w14:paraId="4C04558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Level 3 curtailment; 80% demand shed; maintains minimum emergency head and prevents tank dry-out.</w:t>
            </w:r>
          </w:p>
        </w:tc>
      </w:tr>
      <w:tr w14:paraId="4FFC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Borders>
              <w:top w:val="nil"/>
              <w:left w:val="nil"/>
              <w:bottom w:val="single" w:color="000000" w:sz="12" w:space="0"/>
              <w:right w:val="nil"/>
            </w:tcBorders>
            <w:shd w:val="clear" w:color="auto" w:fill="FFFFFF"/>
          </w:tcPr>
          <w:p w14:paraId="5ED1E88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OUTLET FAILURE</w:t>
            </w:r>
          </w:p>
        </w:tc>
        <w:tc>
          <w:tcPr>
            <w:tcW w:w="1864" w:type="dxa"/>
            <w:tcBorders>
              <w:top w:val="nil"/>
              <w:left w:val="nil"/>
              <w:bottom w:val="single" w:color="000000" w:sz="12" w:space="0"/>
              <w:right w:val="nil"/>
            </w:tcBorders>
            <w:shd w:val="clear" w:color="auto" w:fill="FFFFFF"/>
          </w:tcPr>
          <w:p w14:paraId="10EF6D3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ascii="Cambria Math" w:hAnsi="Cambria Math" w:cs="Times New Roman"/>
                        <w:b w:val="0"/>
                        <w:bCs/>
                        <w:i/>
                        <w:iCs/>
                        <w:color w:val="000000"/>
                        <w:sz w:val="20"/>
                        <w:szCs w:val="20"/>
                        <w:vertAlign w:val="baseline"/>
                        <w:lang w:val="en-US"/>
                      </w:rPr>
                    </m:ctrlPr>
                  </m:sSubPr>
                  <m:e>
                    <m:r>
                      <m:rPr/>
                      <w:rPr>
                        <w:rFonts w:hint="default" w:ascii="Cambria Math" w:hAnsi="Cambria Math" w:cs="Times New Roman"/>
                        <w:color w:val="000000"/>
                        <w:sz w:val="20"/>
                        <w:szCs w:val="20"/>
                        <w:vertAlign w:val="baseline"/>
                        <w:lang w:val="en-US" w:eastAsia="zh-CN"/>
                      </w:rPr>
                      <m:t>H</m:t>
                    </m:r>
                    <m:ctrlPr>
                      <w:rPr>
                        <w:rFonts w:ascii="Cambria Math" w:hAnsi="Cambria Math" w:cs="Times New Roman"/>
                        <w:b w:val="0"/>
                        <w:bCs/>
                        <w:i/>
                        <w:iCs/>
                        <w:color w:val="000000"/>
                        <w:sz w:val="20"/>
                        <w:szCs w:val="20"/>
                        <w:vertAlign w:val="baseline"/>
                        <w:lang w:val="en-US"/>
                      </w:rPr>
                    </m:ctrlPr>
                  </m:e>
                  <m:sub>
                    <m:r>
                      <m:rPr/>
                      <w:rPr>
                        <w:rFonts w:hint="default" w:ascii="Cambria Math" w:hAnsi="Cambria Math" w:cs="Times New Roman"/>
                        <w:color w:val="000000"/>
                        <w:sz w:val="20"/>
                        <w:szCs w:val="20"/>
                        <w:vertAlign w:val="baseline"/>
                        <w:lang w:val="en-US" w:eastAsia="zh-CN"/>
                      </w:rPr>
                      <m:t>tank</m:t>
                    </m:r>
                    <m:ctrlPr>
                      <w:rPr>
                        <w:rFonts w:ascii="Cambria Math" w:hAnsi="Cambria Math" w:cs="Times New Roman"/>
                        <w:b w:val="0"/>
                        <w:bCs/>
                        <w:i/>
                        <w:iCs/>
                        <w:color w:val="000000"/>
                        <w:sz w:val="20"/>
                        <w:szCs w:val="20"/>
                        <w:vertAlign w:val="baseline"/>
                        <w:lang w:val="en-US"/>
                      </w:rPr>
                    </m:ctrlPr>
                  </m:sub>
                </m:sSub>
                <m:r>
                  <m:rPr/>
                  <w:rPr>
                    <w:rFonts w:ascii="Cambria Math" w:hAnsi="Cambria Math" w:cs="Times New Roman"/>
                    <w:color w:val="000000"/>
                    <w:sz w:val="20"/>
                    <w:szCs w:val="20"/>
                    <w:vertAlign w:val="baseline"/>
                    <w:lang w:val="en-US"/>
                  </w:rPr>
                  <m:t>&lt;</m:t>
                </m:r>
                <m:r>
                  <m:rPr/>
                  <w:rPr>
                    <w:rFonts w:hint="default" w:ascii="Cambria Math" w:hAnsi="Cambria Math" w:cs="Times New Roman"/>
                    <w:color w:val="000000"/>
                    <w:sz w:val="20"/>
                    <w:szCs w:val="20"/>
                    <w:vertAlign w:val="baseline"/>
                    <w:lang w:val="en-US" w:eastAsia="zh-CN"/>
                  </w:rPr>
                  <m:t>0.5 m</m:t>
                </m:r>
              </m:oMath>
            </m:oMathPara>
          </w:p>
        </w:tc>
        <w:tc>
          <w:tcPr>
            <w:tcW w:w="1138" w:type="dxa"/>
            <w:tcBorders>
              <w:top w:val="nil"/>
              <w:left w:val="nil"/>
              <w:bottom w:val="single" w:color="000000" w:sz="12" w:space="0"/>
              <w:right w:val="nil"/>
            </w:tcBorders>
            <w:shd w:val="clear" w:color="auto" w:fill="FFFFFF"/>
          </w:tcPr>
          <w:p w14:paraId="7F3C3881">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eastAsia" w:ascii="Times New Roman" w:hAnsi="Times New Roman" w:cs="Times New Roman"/>
                <w:b w:val="0"/>
                <w:bCs w:val="0"/>
                <w:i w:val="0"/>
                <w:iCs w:val="0"/>
                <w:color w:val="000000"/>
                <w:sz w:val="20"/>
                <w:szCs w:val="20"/>
                <w:vertAlign w:val="baseline"/>
                <w:lang w:val="en-US" w:eastAsia="zh-CN"/>
              </w:rPr>
              <w:t>0.00</w:t>
            </w:r>
          </w:p>
        </w:tc>
        <w:tc>
          <w:tcPr>
            <w:tcW w:w="3786" w:type="dxa"/>
            <w:tcBorders>
              <w:top w:val="nil"/>
              <w:left w:val="nil"/>
              <w:bottom w:val="single" w:color="000000" w:sz="12" w:space="0"/>
              <w:right w:val="nil"/>
            </w:tcBorders>
            <w:shd w:val="clear" w:color="auto" w:fill="FFFFFF"/>
          </w:tcPr>
          <w:p w14:paraId="6208A47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Physical pipe closure; outlet valve shuts to prevent cavitation and air entrainment.</w:t>
            </w:r>
          </w:p>
        </w:tc>
      </w:tr>
    </w:tbl>
    <w:p w14:paraId="1AA33877">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The rationale for setting these specific water level risk thresholds (5.0 m, 4.0 m, 2.0 m, 0.50 m) integrates physical, operational, and regulatory constraints. First, the Outlet Failure threshold (0.50 m) is dictated by the physical crown elevation of tank outlet pipes, below which vortexing, air entrainment, and pump cavitation occur, requiring immediate isolation. Second, the Normal threshold (5.0 m) aligns strictly with the baseline </w:t>
      </w:r>
      <w:r>
        <w:rPr>
          <w:rFonts w:hint="eastAsia" w:ascii="Times New Roman" w:hAnsi="Times New Roman" w:cs="Times New Roman"/>
          <w:i/>
          <w:iCs/>
          <w:sz w:val="24"/>
          <w:szCs w:val="24"/>
          <w:highlight w:val="yellow"/>
          <w:lang w:val="en-US" w:eastAsia="zh-CN"/>
        </w:rPr>
        <w:t>PLC</w:t>
      </w:r>
      <w:r>
        <w:rPr>
          <w:rFonts w:hint="default" w:ascii="Times New Roman" w:hAnsi="Times New Roman" w:cs="Times New Roman"/>
          <w:i/>
          <w:iCs/>
          <w:sz w:val="24"/>
          <w:szCs w:val="24"/>
          <w:lang w:val="en-US" w:eastAsia="zh-CN"/>
        </w:rPr>
        <w:t xml:space="preserve"> pump start setpoint (H ≤ 5.0 m start, H ≥ 8.0 m stop), establishing operational self-consistency across routine and emergency modes. Third, the intermediate Warning (5.0 m), Alert (4.0 m), and Critical (2.0 m) thresholds evenly divide the active storage depth, providing progressive reaction time windows (sim 1.0–3.5 h) that allow the network to step down demand in a controlled manner, ensuring that system pressure remains above the 0.10 MPa (≈ 10 m) minimum service head required by national engineering standards </w:t>
      </w:r>
      <w:r>
        <w:rPr>
          <w:rFonts w:hint="default" w:ascii="Times New Roman" w:hAnsi="Times New Roman" w:cs="Times New Roman"/>
          <w:i/>
          <w:iCs/>
          <w:sz w:val="24"/>
          <w:szCs w:val="24"/>
          <w:highlight w:val="yellow"/>
          <w:lang w:val="en-US" w:eastAsia="zh-CN"/>
        </w:rPr>
        <w:t>(MOHURD, 2018)</w:t>
      </w:r>
      <w:r>
        <w:rPr>
          <w:rFonts w:hint="default" w:ascii="Times New Roman" w:hAnsi="Times New Roman" w:cs="Times New Roman"/>
          <w:i/>
          <w:iCs/>
          <w:sz w:val="24"/>
          <w:szCs w:val="24"/>
          <w:lang w:val="en-US" w:eastAsia="zh-CN"/>
        </w:rPr>
        <w:t>.</w:t>
      </w:r>
    </w:p>
    <w:p w14:paraId="0553388D">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p>
    <w:p w14:paraId="0DDC0028">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sz w:val="24"/>
          <w:szCs w:val="24"/>
          <w:lang w:val="en-US" w:eastAsia="zh-CN"/>
        </w:rPr>
      </w:pPr>
      <w:r>
        <w:rPr>
          <w:rFonts w:hint="default" w:ascii="Georgia" w:hAnsi="Georgia" w:eastAsia="等线" w:cs="Times New Roman"/>
          <w:b/>
          <w:bCs/>
          <w:i/>
          <w:iCs/>
          <w:sz w:val="24"/>
          <w:szCs w:val="24"/>
          <w:lang w:val="en-US" w:eastAsia="zh-CN"/>
        </w:rPr>
        <w:t>Comment 4: Results</w:t>
      </w:r>
    </w:p>
    <w:p w14:paraId="41459C5E">
      <w:pPr>
        <w:jc w:val="both"/>
        <w:rPr>
          <w:rFonts w:hint="default" w:ascii="Times New Roman" w:hAnsi="Times New Roman" w:cs="Times New Roman"/>
          <w:i/>
          <w:iCs/>
          <w:sz w:val="24"/>
          <w:szCs w:val="24"/>
          <w:lang w:val="en-US" w:eastAsia="zh-CN"/>
        </w:rPr>
      </w:pPr>
      <w:r>
        <w:rPr>
          <w:rFonts w:hint="default" w:ascii="Times New Roman" w:hAnsi="Times New Roman" w:cs="Times New Roman"/>
          <w:b/>
          <w:bCs/>
          <w:i/>
          <w:iCs/>
          <w:sz w:val="24"/>
          <w:szCs w:val="24"/>
          <w:lang w:val="en-US" w:eastAsia="zh-CN"/>
        </w:rPr>
        <w:t>Reviewer Comment:</w:t>
      </w:r>
    </w:p>
    <w:p w14:paraId="30715D1C">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There are incomplete labels, missing legends and spelling mistakes (e.g., Critical Threbok should be Critical Threshold) in Figs. 4 and 5. Please check all figures, tables, abbreviations and captions thoroughly to unify the format and eliminate typos.</w:t>
      </w:r>
    </w:p>
    <w:p w14:paraId="3BD82CA1">
      <w:pPr>
        <w:jc w:val="both"/>
        <w:rPr>
          <w:rFonts w:hint="default" w:ascii="Times New Roman" w:hAnsi="Times New Roman" w:cs="Times New Roman"/>
          <w:i/>
          <w:iCs/>
          <w:sz w:val="24"/>
          <w:szCs w:val="24"/>
          <w:lang w:val="en-US" w:eastAsia="zh-CN"/>
        </w:rPr>
      </w:pPr>
    </w:p>
    <w:p w14:paraId="454BB9F1">
      <w:pPr>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r>
        <w:rPr>
          <w:rFonts w:hint="eastAsia" w:ascii="Times New Roman" w:hAnsi="Times New Roman" w:cs="Times New Roman"/>
          <w:b/>
          <w:bCs/>
          <w:i w:val="0"/>
          <w:iCs w:val="0"/>
          <w:sz w:val="24"/>
          <w:szCs w:val="24"/>
          <w:lang w:val="en-US" w:eastAsia="zh-CN"/>
        </w:rPr>
        <w:t>:</w:t>
      </w:r>
    </w:p>
    <w:p w14:paraId="013AD365">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sincerely apologize for the typographical errors, incomplete labels, and formatting inconsistencies present in the original figures and tables. We have conducted a rigorous, full-scope audit across all 8 figures, tables, captions, and in-text abbreviations in the revised manuscript.</w:t>
      </w:r>
    </w:p>
    <w:p w14:paraId="768C6A33">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Specifically, we have executed the following corrective actions:</w:t>
      </w:r>
    </w:p>
    <w:p w14:paraId="18D42BC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 xml:space="preserve">Correction of Typos: </w:t>
      </w:r>
      <w:r>
        <w:rPr>
          <w:rFonts w:hint="default" w:ascii="Times New Roman" w:hAnsi="Times New Roman" w:cs="Times New Roman"/>
          <w:sz w:val="24"/>
          <w:szCs w:val="24"/>
          <w:lang w:val="en-US" w:eastAsia="zh-CN"/>
        </w:rPr>
        <w:t>The typographical error “Critical Threbok” in Fig. 4 and Fig. 5 has been permanently corrected to “Critical Threshold” across all code, figures, and text.</w:t>
      </w:r>
    </w:p>
    <w:p w14:paraId="5A97586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b/>
          <w:bCs/>
          <w:sz w:val="24"/>
          <w:szCs w:val="24"/>
          <w:lang w:val="en-US" w:eastAsia="zh-CN"/>
        </w:rPr>
        <w:t xml:space="preserve">Re-rendering at 300 DPI Publication Quality: </w:t>
      </w:r>
      <w:r>
        <w:rPr>
          <w:rFonts w:hint="default" w:ascii="Times New Roman" w:hAnsi="Times New Roman" w:cs="Times New Roman"/>
          <w:sz w:val="24"/>
          <w:szCs w:val="24"/>
          <w:lang w:val="en-US" w:eastAsia="zh-CN"/>
        </w:rPr>
        <w:t xml:space="preserve">All 8 figures have been completely re-generated using Python/Matplotlib </w:t>
      </w:r>
      <w:r>
        <w:rPr>
          <w:rFonts w:hint="eastAsia" w:ascii="Times New Roman" w:hAnsi="Times New Roman" w:cs="Times New Roman"/>
          <w:sz w:val="24"/>
          <w:szCs w:val="24"/>
          <w:lang w:val="en-US" w:eastAsia="zh-CN"/>
        </w:rPr>
        <w:t xml:space="preserve">and powerpoint </w:t>
      </w:r>
      <w:r>
        <w:rPr>
          <w:rFonts w:hint="default" w:ascii="Times New Roman" w:hAnsi="Times New Roman" w:cs="Times New Roman"/>
          <w:sz w:val="24"/>
          <w:szCs w:val="24"/>
          <w:lang w:val="en-US" w:eastAsia="zh-CN"/>
        </w:rPr>
        <w:t>at vector-grade 300 DPI.</w:t>
      </w:r>
    </w:p>
    <w:p w14:paraId="23BE176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b/>
          <w:bCs/>
          <w:sz w:val="24"/>
          <w:szCs w:val="24"/>
          <w:lang w:val="en-US" w:eastAsia="zh-CN"/>
        </w:rPr>
        <w:t>Axis Limits and Legend Placement:</w:t>
      </w:r>
      <w:r>
        <w:rPr>
          <w:rFonts w:hint="default" w:ascii="Times New Roman" w:hAnsi="Times New Roman" w:cs="Times New Roman"/>
          <w:sz w:val="24"/>
          <w:szCs w:val="24"/>
          <w:lang w:val="en-US" w:eastAsia="zh-CN"/>
        </w:rPr>
        <w:t xml:space="preserve"> Expanded Y-axis limits (e.g., 0–12 m for tank water levels, 0–70 m for system pressure) and placed legend boxes in dedicated whitespace to ensure that legends never overlap with visual data elements, curves, or </w:t>
      </w:r>
      <w:r>
        <w:rPr>
          <w:rFonts w:hint="eastAsia" w:ascii="Times New Roman" w:hAnsi="Times New Roman" w:cs="Times New Roman"/>
          <w:sz w:val="24"/>
          <w:szCs w:val="24"/>
          <w:lang w:val="en-US" w:eastAsia="zh-CN"/>
        </w:rPr>
        <w:t>state</w:t>
      </w:r>
      <w:r>
        <w:rPr>
          <w:rFonts w:hint="default" w:ascii="Times New Roman" w:hAnsi="Times New Roman" w:cs="Times New Roman"/>
          <w:sz w:val="24"/>
          <w:szCs w:val="24"/>
          <w:lang w:val="en-US" w:eastAsia="zh-CN"/>
        </w:rPr>
        <w:t xml:space="preserve"> bands.</w:t>
      </w:r>
    </w:p>
    <w:p w14:paraId="2C348F9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4. </w:t>
      </w:r>
      <w:r>
        <w:rPr>
          <w:rFonts w:hint="default" w:ascii="Times New Roman" w:hAnsi="Times New Roman" w:cs="Times New Roman"/>
          <w:b/>
          <w:bCs/>
          <w:sz w:val="24"/>
          <w:szCs w:val="24"/>
          <w:lang w:val="en-US" w:eastAsia="zh-CN"/>
        </w:rPr>
        <w:t xml:space="preserve">Abbreviation Unification: </w:t>
      </w:r>
      <w:r>
        <w:rPr>
          <w:rFonts w:hint="default" w:ascii="Times New Roman" w:hAnsi="Times New Roman" w:cs="Times New Roman"/>
          <w:sz w:val="24"/>
          <w:szCs w:val="24"/>
          <w:lang w:val="en-US" w:eastAsia="zh-CN"/>
        </w:rPr>
        <w:t xml:space="preserve">Standardized all abbreviations across text, figures, and table captions (EWM for Early Warning Mechanism, CPS for Cyber-Physical System, </w:t>
      </w:r>
      <m:oMath>
        <m:sSub>
          <m:sSubPr>
            <m:ctrlPr>
              <w:rPr>
                <w:rFonts w:ascii="Cambria Math" w:hAnsi="Cambria Math" w:cs="Times New Roman"/>
                <w:i/>
                <w:iCs/>
                <w:sz w:val="24"/>
                <w:szCs w:val="24"/>
                <w:lang w:val="en-US"/>
              </w:rPr>
            </m:ctrlPr>
          </m:sSubPr>
          <m:e>
            <m:r>
              <m:rPr/>
              <w:rPr>
                <w:rFonts w:hint="default" w:ascii="Cambria Math" w:hAnsi="Cambria Math" w:cs="Times New Roman"/>
                <w:sz w:val="24"/>
                <w:szCs w:val="24"/>
                <w:lang w:val="en-US" w:eastAsia="zh-CN"/>
              </w:rPr>
              <m:t>RI</m:t>
            </m:r>
            <m:ctrlPr>
              <w:rPr>
                <w:rFonts w:ascii="Cambria Math" w:hAnsi="Cambria Math" w:cs="Times New Roman"/>
                <w:i/>
                <w:iCs/>
                <w:sz w:val="24"/>
                <w:szCs w:val="24"/>
                <w:lang w:val="en-US"/>
              </w:rPr>
            </m:ctrlPr>
          </m:e>
          <m:sub>
            <m:r>
              <m:rPr/>
              <w:rPr>
                <w:rFonts w:hint="default" w:ascii="Cambria Math" w:hAnsi="Cambria Math" w:cs="Times New Roman"/>
                <w:sz w:val="24"/>
                <w:szCs w:val="24"/>
                <w:lang w:val="en-US" w:eastAsia="zh-CN"/>
              </w:rPr>
              <m:t>pressure</m:t>
            </m:r>
            <m:ctrlPr>
              <w:rPr>
                <w:rFonts w:ascii="Cambria Math" w:hAnsi="Cambria Math" w:cs="Times New Roman"/>
                <w:i/>
                <w:iCs/>
                <w:sz w:val="24"/>
                <w:szCs w:val="24"/>
                <w:lang w:val="en-US"/>
              </w:rPr>
            </m:ctrlPr>
          </m:sub>
        </m:sSub>
      </m:oMath>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for Pressure Resilience Index, </w:t>
      </w:r>
      <m:oMath>
        <m:sSub>
          <m:sSubPr>
            <m:ctrlPr>
              <w:rPr>
                <w:rFonts w:ascii="Cambria Math" w:hAnsi="Cambria Math" w:cs="Times New Roman"/>
                <w:i/>
                <w:iCs/>
                <w:sz w:val="24"/>
                <w:szCs w:val="24"/>
                <w:lang w:val="en-US"/>
              </w:rPr>
            </m:ctrlPr>
          </m:sSubPr>
          <m:e>
            <m:r>
              <m:rPr/>
              <w:rPr>
                <w:rFonts w:hint="default" w:ascii="Cambria Math" w:hAnsi="Cambria Math" w:cs="Times New Roman"/>
                <w:sz w:val="24"/>
                <w:szCs w:val="24"/>
                <w:lang w:val="en-US" w:eastAsia="zh-CN"/>
              </w:rPr>
              <m:t>RI</m:t>
            </m:r>
            <m:ctrlPr>
              <w:rPr>
                <w:rFonts w:ascii="Cambria Math" w:hAnsi="Cambria Math" w:cs="Times New Roman"/>
                <w:i/>
                <w:iCs/>
                <w:sz w:val="24"/>
                <w:szCs w:val="24"/>
                <w:lang w:val="en-US"/>
              </w:rPr>
            </m:ctrlPr>
          </m:e>
          <m:sub>
            <m:r>
              <m:rPr/>
              <w:rPr>
                <w:rFonts w:hint="default" w:ascii="Cambria Math" w:hAnsi="Cambria Math" w:cs="Times New Roman"/>
                <w:sz w:val="24"/>
                <w:szCs w:val="24"/>
                <w:lang w:val="en-US" w:eastAsia="zh-CN"/>
              </w:rPr>
              <m:t>service</m:t>
            </m:r>
            <m:ctrlPr>
              <w:rPr>
                <w:rFonts w:ascii="Cambria Math" w:hAnsi="Cambria Math" w:cs="Times New Roman"/>
                <w:i/>
                <w:iCs/>
                <w:sz w:val="24"/>
                <w:szCs w:val="24"/>
                <w:lang w:val="en-US"/>
              </w:rPr>
            </m:ctrlPr>
          </m:sub>
        </m:sSub>
      </m:oMath>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for Service Resilience Index, </w:t>
      </w:r>
      <w:r>
        <w:rPr>
          <w:rFonts w:hint="default" w:ascii="Times New Roman" w:hAnsi="Times New Roman" w:cs="Times New Roman"/>
          <w:i/>
          <w:iCs/>
          <w:sz w:val="24"/>
          <w:szCs w:val="24"/>
          <w:lang w:val="en-US" w:eastAsia="zh-CN"/>
        </w:rPr>
        <w:t>DSR</w:t>
      </w:r>
      <w:r>
        <w:rPr>
          <w:rFonts w:hint="default" w:ascii="Times New Roman" w:hAnsi="Times New Roman" w:cs="Times New Roman"/>
          <w:sz w:val="24"/>
          <w:szCs w:val="24"/>
          <w:lang w:val="en-US" w:eastAsia="zh-CN"/>
        </w:rPr>
        <w:t xml:space="preserve"> for Demand Satisfaction Ratio).</w:t>
      </w:r>
    </w:p>
    <w:p w14:paraId="25D20124">
      <w:pPr>
        <w:jc w:val="both"/>
        <w:rPr>
          <w:rFonts w:hint="eastAsia"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Changes in Manuscript</w:t>
      </w:r>
      <w:r>
        <w:rPr>
          <w:rFonts w:hint="eastAsia" w:ascii="Times New Roman" w:hAnsi="Times New Roman" w:cs="Times New Roman"/>
          <w:b/>
          <w:bCs/>
          <w:i w:val="0"/>
          <w:iCs w:val="0"/>
          <w:sz w:val="24"/>
          <w:szCs w:val="24"/>
          <w:lang w:val="en-US" w:eastAsia="zh-CN"/>
        </w:rPr>
        <w:t>:</w:t>
      </w:r>
    </w:p>
    <w:p w14:paraId="0FD1BB2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complete, unabridged text of Section 3 (Results) in the revised manuscript is printed in full below:</w:t>
      </w:r>
    </w:p>
    <w:p w14:paraId="7105AA6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p>
    <w:p w14:paraId="5EFF03C1">
      <w:pPr>
        <w:spacing w:before="156" w:beforeLines="50" w:after="156" w:afterLines="50" w:line="360" w:lineRule="auto"/>
        <w:rPr>
          <w:rFonts w:hint="default" w:ascii="Times New Roman" w:hAnsi="Times New Roman" w:cs="Times New Roman"/>
          <w:b/>
          <w:bCs/>
          <w:i/>
          <w:iCs/>
          <w:color w:val="auto"/>
          <w:sz w:val="24"/>
          <w:szCs w:val="24"/>
          <w:highlight w:val="none"/>
        </w:rPr>
      </w:pPr>
      <w:r>
        <w:rPr>
          <w:rFonts w:hint="default" w:ascii="Times New Roman" w:hAnsi="Times New Roman" w:cs="Times New Roman"/>
          <w:b/>
          <w:bCs/>
          <w:i/>
          <w:iCs/>
          <w:color w:val="auto"/>
          <w:sz w:val="24"/>
          <w:szCs w:val="24"/>
          <w:highlight w:val="none"/>
        </w:rPr>
        <w:t>3. Results</w:t>
      </w:r>
    </w:p>
    <w:p w14:paraId="783FEA36">
      <w:pPr>
        <w:spacing w:before="156" w:beforeLines="50" w:after="156" w:afterLines="50" w:line="360" w:lineRule="auto"/>
        <w:rPr>
          <w:rFonts w:hint="default" w:ascii="Times New Roman" w:hAnsi="Times New Roman" w:eastAsia="宋体" w:cs="Times New Roman"/>
          <w:b/>
          <w:bCs/>
          <w:i/>
          <w:iCs/>
          <w:color w:val="auto"/>
          <w:sz w:val="24"/>
          <w:szCs w:val="24"/>
          <w:highlight w:val="none"/>
        </w:rPr>
      </w:pPr>
      <w:r>
        <w:rPr>
          <w:rFonts w:hint="default" w:ascii="Times New Roman" w:hAnsi="Times New Roman" w:eastAsia="宋体" w:cs="Times New Roman"/>
          <w:b/>
          <w:bCs/>
          <w:i/>
          <w:iCs/>
          <w:color w:val="auto"/>
          <w:sz w:val="24"/>
          <w:szCs w:val="24"/>
          <w:highlight w:val="none"/>
        </w:rPr>
        <w:t>3.1 Tank Water Level Dynamics and Risk State Transitions</w:t>
      </w:r>
    </w:p>
    <w:p w14:paraId="1EF65CED">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water storage tank level drawdown trajectories and EWM risk state transitions for Tanks T1 and T2 under Without EWM and With EWM scenarios are visually demonstrated in Fig. 4. Under the uncurtailed baseline scenario, high uncurtailed consumer demand (100% load) causes rapid, steep water level drawdown in both Tank T1 (Fig. 4(a), left upper panel) and Tank T2 (Fig. 4(b), right upper panel). Starting from an initial level of 3.051 m, water levels in T1 and T2 drop rapidly across 2.50 h and 2.42 h respectively, breaching the 0.50 m Outlet Failure threshold at t = 29.50 h (T1) and t = 29.42 h (T2). This triggers automatic physical outlet valve closure to prevent air entrainment and pump cavitation, leaving both tanks completely isolated and drained for the remaining 18.50 h and 18.58 h of the 24-h source outage.</w:t>
      </w:r>
    </w:p>
    <w:p w14:paraId="1F9B03B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In stark contrast, under the proposed EWM scenario, the activation of graded demand curtailment significantly alters the drawdown trajectory. As water levels drop below the 5.0 m Warning threshold upon pump outage at t = 24 h, demand is immediately reduced to 70% (γ = 0.70), flattening the initial drawdown slope. As storage drops further across the 4.0 m Alert threshold (t = 25.0 h) and 2.0 m Critical threshold (t = 28.5 h), demand is progressively stepped down to 40% (γ = 0.40) and 20% (γ = 0.20). As shown in the state progression bands in Fig. 4(a) and Fig. 4(b), this progressive demand reduction extends the active water discharge duration of Tanks T1 and T2 from 5.46 h to 11.83 h, delaying Outlet Failure until t = 35.83 h and reducing the total Outlet Failure duration from 18.50–18.58 h down to 12.17 h for both tanks, representing an effective expansion of the operational reaction window by 6.33 h. Table 4 summarizes the exact state duration values and Outlet Failure timings.</w:t>
      </w:r>
    </w:p>
    <w:p w14:paraId="31F690E3">
      <w:pPr>
        <w:spacing w:before="156" w:beforeLines="50" w:after="156" w:afterLines="50" w:line="360" w:lineRule="auto"/>
        <w:rPr>
          <w:rFonts w:hint="default" w:ascii="Times New Roman" w:hAnsi="Times New Roman" w:eastAsia="宋体" w:cs="Times New Roman"/>
          <w:i/>
          <w:iCs/>
          <w:color w:val="auto"/>
          <w:sz w:val="24"/>
          <w:szCs w:val="24"/>
          <w:highlight w:val="none"/>
          <w:lang w:eastAsia="zh-CN"/>
        </w:rPr>
      </w:pPr>
      <w:r>
        <w:rPr>
          <w:rFonts w:hint="default" w:ascii="Times New Roman" w:hAnsi="Times New Roman" w:cs="Times New Roman"/>
          <w:i/>
          <w:iCs/>
          <w:sz w:val="24"/>
          <w:szCs w:val="24"/>
        </w:rPr>
        <w:drawing>
          <wp:inline distT="0" distB="0" distL="114300" distR="114300">
            <wp:extent cx="5303520" cy="3731895"/>
            <wp:effectExtent l="0" t="0" r="508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a:stretch>
                      <a:fillRect/>
                    </a:stretch>
                  </pic:blipFill>
                  <pic:spPr>
                    <a:xfrm>
                      <a:off x="0" y="0"/>
                      <a:ext cx="5303520" cy="3732407"/>
                    </a:xfrm>
                    <a:prstGeom prst="rect">
                      <a:avLst/>
                    </a:prstGeom>
                  </pic:spPr>
                </pic:pic>
              </a:graphicData>
            </a:graphic>
          </wp:inline>
        </w:drawing>
      </w:r>
    </w:p>
    <w:p w14:paraId="26D49FAE">
      <w:pPr>
        <w:spacing w:before="156" w:beforeLines="50" w:after="156" w:afterLines="50" w:line="360" w:lineRule="auto"/>
        <w:rPr>
          <w:rFonts w:hint="default" w:ascii="Times New Roman" w:hAnsi="Times New Roman" w:cs="Times New Roman"/>
          <w:b/>
          <w:bCs/>
          <w:i/>
          <w:iCs/>
          <w:color w:val="auto"/>
          <w:sz w:val="20"/>
          <w:szCs w:val="20"/>
          <w:highlight w:val="none"/>
        </w:rPr>
      </w:pPr>
      <w:r>
        <w:rPr>
          <w:rFonts w:hint="default" w:ascii="Times New Roman" w:hAnsi="Times New Roman" w:cs="Times New Roman"/>
          <w:b/>
          <w:bCs/>
          <w:i/>
          <w:iCs/>
          <w:color w:val="auto"/>
          <w:sz w:val="20"/>
          <w:szCs w:val="20"/>
          <w:highlight w:val="none"/>
        </w:rPr>
        <w:t xml:space="preserve">Fig. </w:t>
      </w:r>
      <w:r>
        <w:rPr>
          <w:rFonts w:hint="default" w:ascii="Times New Roman" w:hAnsi="Times New Roman" w:cs="Times New Roman"/>
          <w:b/>
          <w:bCs/>
          <w:i/>
          <w:iCs/>
          <w:color w:val="auto"/>
          <w:sz w:val="20"/>
          <w:szCs w:val="20"/>
          <w:highlight w:val="none"/>
          <w:lang w:val="en-US" w:eastAsia="zh-CN"/>
        </w:rPr>
        <w:t>4</w:t>
      </w:r>
      <w:r>
        <w:rPr>
          <w:rFonts w:hint="default" w:ascii="Times New Roman" w:hAnsi="Times New Roman" w:cs="Times New Roman"/>
          <w:b/>
          <w:bCs/>
          <w:i/>
          <w:iCs/>
          <w:color w:val="auto"/>
          <w:sz w:val="20"/>
          <w:szCs w:val="20"/>
          <w:highlight w:val="none"/>
        </w:rPr>
        <w:t xml:space="preserve"> Temporal evolution and duration distribution of risk states in storage tanks under Without EWM and With EWM conditions. (a) shows the temporal evolution of risk states, and (b) shows the duration distribution of various risk levels.</w:t>
      </w:r>
    </w:p>
    <w:p w14:paraId="37FEE24C">
      <w:pPr>
        <w:widowControl w:val="0"/>
        <w:jc w:val="left"/>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Table 4: Tank state durations and Outlet Failure timings for Tanks T1 and T2</w:t>
      </w:r>
    </w:p>
    <w:tbl>
      <w:tblPr>
        <w:tblStyle w:val="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5"/>
        <w:gridCol w:w="769"/>
        <w:gridCol w:w="1090"/>
        <w:gridCol w:w="1176"/>
        <w:gridCol w:w="869"/>
        <w:gridCol w:w="1080"/>
        <w:gridCol w:w="1209"/>
        <w:gridCol w:w="1288"/>
      </w:tblGrid>
      <w:tr w14:paraId="27734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4" w:space="0"/>
              <w:tl2br w:val="nil"/>
            </w:tcBorders>
            <w:shd w:val="clear" w:color="auto" w:fill="FFFFFF"/>
            <w:tcMar>
              <w:top w:w="120" w:type="dxa"/>
              <w:left w:w="150" w:type="dxa"/>
              <w:bottom w:w="120" w:type="dxa"/>
              <w:right w:w="150" w:type="dxa"/>
            </w:tcMar>
          </w:tcPr>
          <w:p w14:paraId="1A9511DA">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Scenario</w:t>
            </w:r>
          </w:p>
        </w:tc>
        <w:tc>
          <w:tcPr>
            <w:tcW w:w="0" w:type="auto"/>
            <w:tcBorders>
              <w:bottom w:val="single" w:color="000000" w:sz="4" w:space="0"/>
            </w:tcBorders>
            <w:shd w:val="clear" w:color="auto" w:fill="FFFFFF"/>
            <w:tcMar>
              <w:top w:w="120" w:type="dxa"/>
              <w:left w:w="150" w:type="dxa"/>
              <w:bottom w:w="120" w:type="dxa"/>
              <w:right w:w="150" w:type="dxa"/>
            </w:tcMar>
          </w:tcPr>
          <w:p w14:paraId="386C1E00">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Tank ID</w:t>
            </w:r>
          </w:p>
        </w:tc>
        <w:tc>
          <w:tcPr>
            <w:tcW w:w="0" w:type="auto"/>
            <w:tcBorders>
              <w:bottom w:val="single" w:color="000000" w:sz="4" w:space="0"/>
            </w:tcBorders>
            <w:shd w:val="clear" w:color="auto" w:fill="FFFFFF"/>
            <w:tcMar>
              <w:top w:w="120" w:type="dxa"/>
              <w:left w:w="150" w:type="dxa"/>
              <w:bottom w:w="120" w:type="dxa"/>
              <w:right w:w="150" w:type="dxa"/>
            </w:tcMar>
          </w:tcPr>
          <w:p w14:paraId="5B395EE1">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Normal (≥ 5.0 m)</w:t>
            </w:r>
          </w:p>
        </w:tc>
        <w:tc>
          <w:tcPr>
            <w:tcW w:w="0" w:type="auto"/>
            <w:tcBorders>
              <w:bottom w:val="single" w:color="000000" w:sz="4" w:space="0"/>
            </w:tcBorders>
            <w:shd w:val="clear" w:color="auto" w:fill="FFFFFF"/>
            <w:tcMar>
              <w:top w:w="120" w:type="dxa"/>
              <w:left w:w="150" w:type="dxa"/>
              <w:bottom w:w="120" w:type="dxa"/>
              <w:right w:w="150" w:type="dxa"/>
            </w:tcMar>
          </w:tcPr>
          <w:p w14:paraId="74C58DE1">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Warning (&lt; 5.0 m)</w:t>
            </w:r>
          </w:p>
        </w:tc>
        <w:tc>
          <w:tcPr>
            <w:tcW w:w="0" w:type="auto"/>
            <w:tcBorders>
              <w:bottom w:val="single" w:color="000000" w:sz="4" w:space="0"/>
            </w:tcBorders>
            <w:shd w:val="clear" w:color="auto" w:fill="FFFFFF"/>
            <w:tcMar>
              <w:top w:w="120" w:type="dxa"/>
              <w:left w:w="150" w:type="dxa"/>
              <w:bottom w:w="120" w:type="dxa"/>
              <w:right w:w="150" w:type="dxa"/>
            </w:tcMar>
          </w:tcPr>
          <w:p w14:paraId="25832DB1">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Alert (&lt; 4.0 m)</w:t>
            </w:r>
          </w:p>
        </w:tc>
        <w:tc>
          <w:tcPr>
            <w:tcW w:w="0" w:type="auto"/>
            <w:tcBorders>
              <w:bottom w:val="single" w:color="000000" w:sz="4" w:space="0"/>
            </w:tcBorders>
            <w:shd w:val="clear" w:color="auto" w:fill="FFFFFF"/>
            <w:tcMar>
              <w:top w:w="120" w:type="dxa"/>
              <w:left w:w="150" w:type="dxa"/>
              <w:bottom w:w="120" w:type="dxa"/>
              <w:right w:w="150" w:type="dxa"/>
            </w:tcMar>
          </w:tcPr>
          <w:p w14:paraId="67F3A639">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Critical (&lt; 2.0 m)</w:t>
            </w:r>
          </w:p>
        </w:tc>
        <w:tc>
          <w:tcPr>
            <w:tcW w:w="0" w:type="auto"/>
            <w:tcBorders>
              <w:bottom w:val="single" w:color="000000" w:sz="4" w:space="0"/>
            </w:tcBorders>
            <w:shd w:val="clear" w:color="auto" w:fill="FFFFFF"/>
            <w:tcMar>
              <w:top w:w="120" w:type="dxa"/>
              <w:left w:w="150" w:type="dxa"/>
              <w:bottom w:w="120" w:type="dxa"/>
              <w:right w:w="150" w:type="dxa"/>
            </w:tcMar>
          </w:tcPr>
          <w:p w14:paraId="05CF083D">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Outlet Failure (&lt; 0.50 m)</w:t>
            </w:r>
          </w:p>
        </w:tc>
        <w:tc>
          <w:tcPr>
            <w:tcW w:w="0" w:type="auto"/>
            <w:tcBorders>
              <w:bottom w:val="single" w:color="000000" w:sz="4" w:space="0"/>
            </w:tcBorders>
            <w:shd w:val="clear" w:color="auto" w:fill="FFFFFF"/>
            <w:tcMar>
              <w:top w:w="120" w:type="dxa"/>
              <w:left w:w="150" w:type="dxa"/>
              <w:bottom w:w="120" w:type="dxa"/>
              <w:right w:w="150" w:type="dxa"/>
            </w:tcMar>
          </w:tcPr>
          <w:p w14:paraId="64AEF8C3">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Total Outflow Duration</w:t>
            </w:r>
          </w:p>
        </w:tc>
      </w:tr>
      <w:tr w14:paraId="4E86F3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tcMar>
              <w:top w:w="100" w:type="dxa"/>
              <w:left w:w="150" w:type="dxa"/>
              <w:bottom w:w="100" w:type="dxa"/>
              <w:right w:w="150" w:type="dxa"/>
            </w:tcMar>
          </w:tcPr>
          <w:p w14:paraId="3270DCC8">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Without EWM</w:t>
            </w:r>
          </w:p>
        </w:tc>
        <w:tc>
          <w:tcPr>
            <w:tcW w:w="0" w:type="auto"/>
            <w:tcBorders>
              <w:top w:val="single" w:color="000000" w:sz="4" w:space="0"/>
            </w:tcBorders>
            <w:shd w:val="clear" w:color="auto" w:fill="FFFFFF"/>
            <w:tcMar>
              <w:top w:w="100" w:type="dxa"/>
              <w:left w:w="150" w:type="dxa"/>
              <w:bottom w:w="100" w:type="dxa"/>
              <w:right w:w="150" w:type="dxa"/>
            </w:tcMar>
          </w:tcPr>
          <w:p w14:paraId="5DF6B384">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T1</w:t>
            </w:r>
          </w:p>
        </w:tc>
        <w:tc>
          <w:tcPr>
            <w:tcW w:w="0" w:type="auto"/>
            <w:tcBorders>
              <w:top w:val="single" w:color="000000" w:sz="4" w:space="0"/>
            </w:tcBorders>
            <w:shd w:val="clear" w:color="auto" w:fill="FFFFFF"/>
            <w:tcMar>
              <w:top w:w="100" w:type="dxa"/>
              <w:left w:w="150" w:type="dxa"/>
              <w:bottom w:w="100" w:type="dxa"/>
              <w:right w:w="150" w:type="dxa"/>
            </w:tcMar>
          </w:tcPr>
          <w:p w14:paraId="21A8343A">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0.00 h</w:t>
            </w:r>
          </w:p>
        </w:tc>
        <w:tc>
          <w:tcPr>
            <w:tcW w:w="0" w:type="auto"/>
            <w:tcBorders>
              <w:top w:val="single" w:color="000000" w:sz="4" w:space="0"/>
            </w:tcBorders>
            <w:shd w:val="clear" w:color="auto" w:fill="FFFFFF"/>
            <w:tcMar>
              <w:top w:w="100" w:type="dxa"/>
              <w:left w:w="150" w:type="dxa"/>
              <w:bottom w:w="100" w:type="dxa"/>
              <w:right w:w="150" w:type="dxa"/>
            </w:tcMar>
          </w:tcPr>
          <w:p w14:paraId="3D7DEA1D">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0.00 h</w:t>
            </w:r>
          </w:p>
        </w:tc>
        <w:tc>
          <w:tcPr>
            <w:tcW w:w="0" w:type="auto"/>
            <w:tcBorders>
              <w:top w:val="single" w:color="000000" w:sz="4" w:space="0"/>
            </w:tcBorders>
            <w:shd w:val="clear" w:color="auto" w:fill="FFFFFF"/>
            <w:tcMar>
              <w:top w:w="100" w:type="dxa"/>
              <w:left w:w="150" w:type="dxa"/>
              <w:bottom w:w="100" w:type="dxa"/>
              <w:right w:w="150" w:type="dxa"/>
            </w:tcMar>
          </w:tcPr>
          <w:p w14:paraId="06CE2775">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2.50 h</w:t>
            </w:r>
          </w:p>
        </w:tc>
        <w:tc>
          <w:tcPr>
            <w:tcW w:w="0" w:type="auto"/>
            <w:tcBorders>
              <w:top w:val="single" w:color="000000" w:sz="4" w:space="0"/>
            </w:tcBorders>
            <w:shd w:val="clear" w:color="auto" w:fill="FFFFFF"/>
            <w:tcMar>
              <w:top w:w="100" w:type="dxa"/>
              <w:left w:w="150" w:type="dxa"/>
              <w:bottom w:w="100" w:type="dxa"/>
              <w:right w:w="150" w:type="dxa"/>
            </w:tcMar>
          </w:tcPr>
          <w:p w14:paraId="6BA5D82C">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3.00 h</w:t>
            </w:r>
          </w:p>
        </w:tc>
        <w:tc>
          <w:tcPr>
            <w:tcW w:w="0" w:type="auto"/>
            <w:tcBorders>
              <w:top w:val="single" w:color="000000" w:sz="4" w:space="0"/>
            </w:tcBorders>
            <w:shd w:val="clear" w:color="auto" w:fill="FFFFFF"/>
            <w:tcMar>
              <w:top w:w="100" w:type="dxa"/>
              <w:left w:w="150" w:type="dxa"/>
              <w:bottom w:w="100" w:type="dxa"/>
              <w:right w:w="150" w:type="dxa"/>
            </w:tcMar>
          </w:tcPr>
          <w:p w14:paraId="693BA06A">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18.50 h</w:t>
            </w:r>
          </w:p>
        </w:tc>
        <w:tc>
          <w:tcPr>
            <w:tcW w:w="0" w:type="auto"/>
            <w:tcBorders>
              <w:top w:val="single" w:color="000000" w:sz="4" w:space="0"/>
            </w:tcBorders>
            <w:shd w:val="clear" w:color="auto" w:fill="FFFFFF"/>
            <w:tcMar>
              <w:top w:w="100" w:type="dxa"/>
              <w:left w:w="150" w:type="dxa"/>
              <w:bottom w:w="100" w:type="dxa"/>
              <w:right w:w="150" w:type="dxa"/>
            </w:tcMar>
          </w:tcPr>
          <w:p w14:paraId="44515F35">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5.50 h</w:t>
            </w:r>
          </w:p>
        </w:tc>
      </w:tr>
      <w:tr w14:paraId="7DFEBA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2BB9E62">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p>
        </w:tc>
        <w:tc>
          <w:tcPr>
            <w:tcW w:w="0" w:type="auto"/>
            <w:shd w:val="clear" w:color="auto" w:fill="FFFFFF"/>
            <w:tcMar>
              <w:top w:w="100" w:type="dxa"/>
              <w:left w:w="150" w:type="dxa"/>
              <w:bottom w:w="100" w:type="dxa"/>
              <w:right w:w="150" w:type="dxa"/>
            </w:tcMar>
          </w:tcPr>
          <w:p w14:paraId="4435E86E">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T2</w:t>
            </w:r>
          </w:p>
        </w:tc>
        <w:tc>
          <w:tcPr>
            <w:tcW w:w="0" w:type="auto"/>
            <w:shd w:val="clear" w:color="auto" w:fill="FFFFFF"/>
            <w:tcMar>
              <w:top w:w="100" w:type="dxa"/>
              <w:left w:w="150" w:type="dxa"/>
              <w:bottom w:w="100" w:type="dxa"/>
              <w:right w:w="150" w:type="dxa"/>
            </w:tcMar>
          </w:tcPr>
          <w:p w14:paraId="5AEE0217">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7B2E8BF7">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19D21721">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2.42 h</w:t>
            </w:r>
          </w:p>
        </w:tc>
        <w:tc>
          <w:tcPr>
            <w:tcW w:w="0" w:type="auto"/>
            <w:shd w:val="clear" w:color="auto" w:fill="FFFFFF"/>
            <w:tcMar>
              <w:top w:w="100" w:type="dxa"/>
              <w:left w:w="150" w:type="dxa"/>
              <w:bottom w:w="100" w:type="dxa"/>
              <w:right w:w="150" w:type="dxa"/>
            </w:tcMar>
          </w:tcPr>
          <w:p w14:paraId="758672C0">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3.00 h</w:t>
            </w:r>
          </w:p>
        </w:tc>
        <w:tc>
          <w:tcPr>
            <w:tcW w:w="0" w:type="auto"/>
            <w:shd w:val="clear" w:color="auto" w:fill="FFFFFF"/>
            <w:tcMar>
              <w:top w:w="100" w:type="dxa"/>
              <w:left w:w="150" w:type="dxa"/>
              <w:bottom w:w="100" w:type="dxa"/>
              <w:right w:w="150" w:type="dxa"/>
            </w:tcMar>
          </w:tcPr>
          <w:p w14:paraId="3C4B63A8">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18.58 h</w:t>
            </w:r>
          </w:p>
        </w:tc>
        <w:tc>
          <w:tcPr>
            <w:tcW w:w="0" w:type="auto"/>
            <w:shd w:val="clear" w:color="auto" w:fill="FFFFFF"/>
            <w:tcMar>
              <w:top w:w="100" w:type="dxa"/>
              <w:left w:w="150" w:type="dxa"/>
              <w:bottom w:w="100" w:type="dxa"/>
              <w:right w:w="150" w:type="dxa"/>
            </w:tcMar>
          </w:tcPr>
          <w:p w14:paraId="0CA80F3B">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5.42 h</w:t>
            </w:r>
          </w:p>
        </w:tc>
      </w:tr>
      <w:tr w14:paraId="492BE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4A2021E1">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With EWM</w:t>
            </w:r>
          </w:p>
        </w:tc>
        <w:tc>
          <w:tcPr>
            <w:tcW w:w="0" w:type="auto"/>
            <w:shd w:val="clear" w:color="auto" w:fill="FFFFFF"/>
            <w:tcMar>
              <w:top w:w="100" w:type="dxa"/>
              <w:left w:w="150" w:type="dxa"/>
              <w:bottom w:w="100" w:type="dxa"/>
              <w:right w:w="150" w:type="dxa"/>
            </w:tcMar>
          </w:tcPr>
          <w:p w14:paraId="603DF59B">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T1</w:t>
            </w:r>
          </w:p>
        </w:tc>
        <w:tc>
          <w:tcPr>
            <w:tcW w:w="0" w:type="auto"/>
            <w:shd w:val="clear" w:color="auto" w:fill="FFFFFF"/>
            <w:tcMar>
              <w:top w:w="100" w:type="dxa"/>
              <w:left w:w="150" w:type="dxa"/>
              <w:bottom w:w="100" w:type="dxa"/>
              <w:right w:w="150" w:type="dxa"/>
            </w:tcMar>
          </w:tcPr>
          <w:p w14:paraId="6355EAF8">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1A6F7577">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1.00 h</w:t>
            </w:r>
          </w:p>
        </w:tc>
        <w:tc>
          <w:tcPr>
            <w:tcW w:w="0" w:type="auto"/>
            <w:shd w:val="clear" w:color="auto" w:fill="FFFFFF"/>
            <w:tcMar>
              <w:top w:w="100" w:type="dxa"/>
              <w:left w:w="150" w:type="dxa"/>
              <w:bottom w:w="100" w:type="dxa"/>
              <w:right w:w="150" w:type="dxa"/>
            </w:tcMar>
          </w:tcPr>
          <w:p w14:paraId="7ADC7DC7">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3.50 h</w:t>
            </w:r>
          </w:p>
        </w:tc>
        <w:tc>
          <w:tcPr>
            <w:tcW w:w="0" w:type="auto"/>
            <w:shd w:val="clear" w:color="auto" w:fill="FFFFFF"/>
            <w:tcMar>
              <w:top w:w="100" w:type="dxa"/>
              <w:left w:w="150" w:type="dxa"/>
              <w:bottom w:w="100" w:type="dxa"/>
              <w:right w:w="150" w:type="dxa"/>
            </w:tcMar>
          </w:tcPr>
          <w:p w14:paraId="64A7681F">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7.33 h</w:t>
            </w:r>
          </w:p>
        </w:tc>
        <w:tc>
          <w:tcPr>
            <w:tcW w:w="0" w:type="auto"/>
            <w:shd w:val="clear" w:color="auto" w:fill="FFFFFF"/>
            <w:tcMar>
              <w:top w:w="100" w:type="dxa"/>
              <w:left w:w="150" w:type="dxa"/>
              <w:bottom w:w="100" w:type="dxa"/>
              <w:right w:w="150" w:type="dxa"/>
            </w:tcMar>
          </w:tcPr>
          <w:p w14:paraId="0CF67375">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12.17 h</w:t>
            </w:r>
          </w:p>
        </w:tc>
        <w:tc>
          <w:tcPr>
            <w:tcW w:w="0" w:type="auto"/>
            <w:shd w:val="clear" w:color="auto" w:fill="FFFFFF"/>
            <w:tcMar>
              <w:top w:w="100" w:type="dxa"/>
              <w:left w:w="150" w:type="dxa"/>
              <w:bottom w:w="100" w:type="dxa"/>
              <w:right w:w="150" w:type="dxa"/>
            </w:tcMar>
          </w:tcPr>
          <w:p w14:paraId="432B2D47">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11.83 h</w:t>
            </w:r>
          </w:p>
        </w:tc>
      </w:tr>
      <w:tr w14:paraId="1E4E2C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31D1D7B2">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p>
        </w:tc>
        <w:tc>
          <w:tcPr>
            <w:tcW w:w="0" w:type="auto"/>
            <w:shd w:val="clear" w:color="auto" w:fill="FFFFFF"/>
            <w:tcMar>
              <w:top w:w="100" w:type="dxa"/>
              <w:left w:w="150" w:type="dxa"/>
              <w:bottom w:w="100" w:type="dxa"/>
              <w:right w:w="150" w:type="dxa"/>
            </w:tcMar>
          </w:tcPr>
          <w:p w14:paraId="2E787EFD">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T2</w:t>
            </w:r>
          </w:p>
        </w:tc>
        <w:tc>
          <w:tcPr>
            <w:tcW w:w="0" w:type="auto"/>
            <w:shd w:val="clear" w:color="auto" w:fill="FFFFFF"/>
            <w:tcMar>
              <w:top w:w="100" w:type="dxa"/>
              <w:left w:w="150" w:type="dxa"/>
              <w:bottom w:w="100" w:type="dxa"/>
              <w:right w:w="150" w:type="dxa"/>
            </w:tcMar>
          </w:tcPr>
          <w:p w14:paraId="28946877">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0.00 h</w:t>
            </w:r>
          </w:p>
        </w:tc>
        <w:tc>
          <w:tcPr>
            <w:tcW w:w="0" w:type="auto"/>
            <w:shd w:val="clear" w:color="auto" w:fill="FFFFFF"/>
            <w:tcMar>
              <w:top w:w="100" w:type="dxa"/>
              <w:left w:w="150" w:type="dxa"/>
              <w:bottom w:w="100" w:type="dxa"/>
              <w:right w:w="150" w:type="dxa"/>
            </w:tcMar>
          </w:tcPr>
          <w:p w14:paraId="319C90C3">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1.00 h</w:t>
            </w:r>
          </w:p>
        </w:tc>
        <w:tc>
          <w:tcPr>
            <w:tcW w:w="0" w:type="auto"/>
            <w:shd w:val="clear" w:color="auto" w:fill="FFFFFF"/>
            <w:tcMar>
              <w:top w:w="100" w:type="dxa"/>
              <w:left w:w="150" w:type="dxa"/>
              <w:bottom w:w="100" w:type="dxa"/>
              <w:right w:w="150" w:type="dxa"/>
            </w:tcMar>
          </w:tcPr>
          <w:p w14:paraId="60973D54">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3.50 h</w:t>
            </w:r>
          </w:p>
        </w:tc>
        <w:tc>
          <w:tcPr>
            <w:tcW w:w="0" w:type="auto"/>
            <w:shd w:val="clear" w:color="auto" w:fill="FFFFFF"/>
            <w:tcMar>
              <w:top w:w="100" w:type="dxa"/>
              <w:left w:w="150" w:type="dxa"/>
              <w:bottom w:w="100" w:type="dxa"/>
              <w:right w:w="150" w:type="dxa"/>
            </w:tcMar>
          </w:tcPr>
          <w:p w14:paraId="03D15433">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7.33 h</w:t>
            </w:r>
          </w:p>
        </w:tc>
        <w:tc>
          <w:tcPr>
            <w:tcW w:w="0" w:type="auto"/>
            <w:shd w:val="clear" w:color="auto" w:fill="FFFFFF"/>
            <w:tcMar>
              <w:top w:w="100" w:type="dxa"/>
              <w:left w:w="150" w:type="dxa"/>
              <w:bottom w:w="100" w:type="dxa"/>
              <w:right w:w="150" w:type="dxa"/>
            </w:tcMar>
          </w:tcPr>
          <w:p w14:paraId="4EFCD28B">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12.17 h</w:t>
            </w:r>
          </w:p>
        </w:tc>
        <w:tc>
          <w:tcPr>
            <w:tcW w:w="0" w:type="auto"/>
            <w:shd w:val="clear" w:color="auto" w:fill="FFFFFF"/>
            <w:tcMar>
              <w:top w:w="100" w:type="dxa"/>
              <w:left w:w="150" w:type="dxa"/>
              <w:bottom w:w="100" w:type="dxa"/>
              <w:right w:w="150" w:type="dxa"/>
            </w:tcMar>
          </w:tcPr>
          <w:p w14:paraId="16B06256">
            <w:pPr>
              <w:widowControl w:val="0"/>
              <w:jc w:val="left"/>
              <w:rPr>
                <w:rFonts w:hint="default" w:ascii="Times New Roman" w:hAnsi="Times New Roman" w:cs="Times New Roman" w:eastAsiaTheme="minorEastAsia"/>
                <w:b w:val="0"/>
                <w:bCs/>
                <w:i/>
                <w:iCs/>
                <w:color w:val="000000"/>
                <w:kern w:val="2"/>
                <w:sz w:val="20"/>
                <w:szCs w:val="20"/>
                <w:vertAlign w:val="baseline"/>
                <w:lang w:val="en-US" w:eastAsia="zh-CN" w:bidi="ar-SA"/>
              </w:rPr>
            </w:pPr>
            <w:r>
              <w:rPr>
                <w:rFonts w:hint="default" w:ascii="Times New Roman" w:hAnsi="Times New Roman" w:cs="Times New Roman" w:eastAsiaTheme="minorEastAsia"/>
                <w:b w:val="0"/>
                <w:bCs/>
                <w:i/>
                <w:iCs/>
                <w:color w:val="000000"/>
                <w:kern w:val="2"/>
                <w:sz w:val="20"/>
                <w:szCs w:val="20"/>
                <w:vertAlign w:val="baseline"/>
                <w:lang w:val="en-US" w:eastAsia="zh-CN" w:bidi="ar-SA"/>
              </w:rPr>
              <w:t>11.83 h</w:t>
            </w:r>
          </w:p>
        </w:tc>
      </w:tr>
    </w:tbl>
    <w:p w14:paraId="42A6D27A">
      <w:pPr>
        <w:spacing w:before="156" w:beforeLines="50" w:after="156" w:afterLines="50" w:line="360" w:lineRule="auto"/>
        <w:rPr>
          <w:rFonts w:hint="default" w:ascii="Times New Roman" w:hAnsi="Times New Roman" w:eastAsia="宋体" w:cs="Times New Roman"/>
          <w:b/>
          <w:bCs/>
          <w:i/>
          <w:iCs/>
          <w:color w:val="auto"/>
          <w:sz w:val="24"/>
          <w:szCs w:val="24"/>
          <w:highlight w:val="none"/>
        </w:rPr>
      </w:pPr>
      <w:r>
        <w:rPr>
          <w:rFonts w:hint="default" w:ascii="Times New Roman" w:hAnsi="Times New Roman" w:eastAsia="宋体" w:cs="Times New Roman"/>
          <w:b/>
          <w:bCs/>
          <w:i/>
          <w:iCs/>
          <w:color w:val="auto"/>
          <w:sz w:val="24"/>
          <w:szCs w:val="24"/>
          <w:highlight w:val="none"/>
        </w:rPr>
        <w:t>3.2 System Pressure Trajectories and Dual-Metric Volumetric Accounting</w:t>
      </w:r>
    </w:p>
    <w:p w14:paraId="39AA9E6C">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network-wide average junction pressure Pavg(t) and system performance trajectory over the 72-h simulation timeline are illustrated in Fig. 5. During the pre-fault phase (0–24 h), average system pressure remains stably elevated at 55.23 m (0.541 MPa). Upon pump shutdown at t = 24 h, the baseline curve without EWM exhibits a steep pressure drop as uncurtailed demand drains the tanks. At t = 30.2 h, complete tank dry-out triggers physical outlet pipe closure, causing network pressure to collapse abruptly to zero (0.00 MPa) and creating a complete zero-supply blackout for the remaining 17.8 h of the outage.</w:t>
      </w:r>
    </w:p>
    <w:p w14:paraId="465FA4FD">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Conversely, the performance trajectory under EWM intervention in Fig. 5 demonstrates the dynamic pressure stabilization achieved through proactive load control. As demand is progressively curtailed (70% \to 40% \to 20%), line head loss decreases and storage depletion slows, maintaining Pavg(t) consistently above the dashed horizontal line representing the critical 0.10 MPa (≈ 10 m) emergency service threshold throughout the entire 24-h outage (24–48 h). The shaded region between the intervened and baseline performance curves visually highlights the integrated system performance area preserved by EWM, raising the Pressure Resilience Index (RIpressure) from 0.22 to 0.84 (Δ = +0.62).</w:t>
      </w:r>
    </w:p>
    <w:p w14:paraId="6330FF39">
      <w:pPr>
        <w:spacing w:before="156" w:beforeLines="50" w:after="156" w:afterLines="50" w:line="360" w:lineRule="auto"/>
        <w:rPr>
          <w:rFonts w:hint="default" w:ascii="Times New Roman" w:hAnsi="Times New Roman" w:eastAsia="宋体" w:cs="Times New Roman"/>
          <w:i/>
          <w:iCs/>
          <w:color w:val="auto"/>
          <w:sz w:val="24"/>
          <w:szCs w:val="24"/>
          <w:highlight w:val="none"/>
          <w:lang w:val="en-US" w:eastAsia="zh-CN"/>
        </w:rPr>
      </w:pPr>
      <w:r>
        <w:rPr>
          <w:rFonts w:hint="default" w:ascii="Times New Roman" w:hAnsi="Times New Roman" w:cs="Times New Roman"/>
          <w:i/>
          <w:iCs/>
          <w:sz w:val="24"/>
          <w:szCs w:val="24"/>
        </w:rPr>
        <w:drawing>
          <wp:inline distT="0" distB="0" distL="114300" distR="114300">
            <wp:extent cx="5303520" cy="3037840"/>
            <wp:effectExtent l="0" t="0" r="5080"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
                    <a:stretch>
                      <a:fillRect/>
                    </a:stretch>
                  </pic:blipFill>
                  <pic:spPr>
                    <a:xfrm>
                      <a:off x="0" y="0"/>
                      <a:ext cx="5303520" cy="3037958"/>
                    </a:xfrm>
                    <a:prstGeom prst="rect">
                      <a:avLst/>
                    </a:prstGeom>
                  </pic:spPr>
                </pic:pic>
              </a:graphicData>
            </a:graphic>
          </wp:inline>
        </w:drawing>
      </w:r>
    </w:p>
    <w:p w14:paraId="260DDC4E">
      <w:pPr>
        <w:spacing w:before="156" w:beforeLines="50" w:after="156" w:afterLines="50" w:line="360" w:lineRule="auto"/>
        <w:rPr>
          <w:rFonts w:hint="default" w:ascii="Times New Roman" w:hAnsi="Times New Roman" w:cs="Times New Roman"/>
          <w:b/>
          <w:bCs/>
          <w:i/>
          <w:iCs/>
          <w:color w:val="auto"/>
          <w:sz w:val="20"/>
          <w:szCs w:val="20"/>
          <w:highlight w:val="none"/>
        </w:rPr>
      </w:pPr>
      <w:r>
        <w:rPr>
          <w:rFonts w:hint="default" w:ascii="Times New Roman" w:hAnsi="Times New Roman" w:cs="Times New Roman"/>
          <w:b/>
          <w:bCs/>
          <w:i/>
          <w:iCs/>
          <w:color w:val="auto"/>
          <w:sz w:val="20"/>
          <w:szCs w:val="20"/>
          <w:highlight w:val="none"/>
        </w:rPr>
        <w:t xml:space="preserve">Fig. </w:t>
      </w:r>
      <w:r>
        <w:rPr>
          <w:rFonts w:hint="default" w:ascii="Times New Roman" w:hAnsi="Times New Roman" w:cs="Times New Roman"/>
          <w:b/>
          <w:bCs/>
          <w:i/>
          <w:iCs/>
          <w:color w:val="auto"/>
          <w:sz w:val="20"/>
          <w:szCs w:val="20"/>
          <w:highlight w:val="none"/>
          <w:lang w:val="en-US" w:eastAsia="zh-CN"/>
        </w:rPr>
        <w:t>5</w:t>
      </w:r>
      <w:r>
        <w:rPr>
          <w:rFonts w:hint="default" w:ascii="Times New Roman" w:hAnsi="Times New Roman" w:cs="Times New Roman"/>
          <w:b/>
          <w:bCs/>
          <w:i/>
          <w:iCs/>
          <w:color w:val="auto"/>
          <w:sz w:val="20"/>
          <w:szCs w:val="20"/>
          <w:highlight w:val="none"/>
        </w:rPr>
        <w:t xml:space="preserve"> Network-wide average junction pressure Pavg(t) and system performance trajectory P(t) during the 72-h simulation horizon under Without EWM and With EWM scenarios.</w:t>
      </w:r>
    </w:p>
    <w:p w14:paraId="3BA24837">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To resolve the potential distortion of evaluating resilience solely through pressure preservation, Fig. 6 provides a side-by-side comparison of the dual resilience indices and the volumetric water accounting results over the disruption period (V_{req} = 7,822.8 m³). In Fig. 6(a), the bar chart compares RIpressure (0.22 vs. 0.84) alongside RIservice (0.23 vs. 0.29). While RIpressure exhibits a massive +0.62 jump due to pipeline head preservation, RIservice reflects the actual Demand Satisfaction Ratio (DSR), showing a modest but meaningful +0.058 improvement.</w:t>
      </w:r>
    </w:p>
    <w:p w14:paraId="61EA70E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Fig. 6(b) details the volumetric water accounting bars, contrasting total delivered water volume Vdel against cumulative unmet demand Vunmet. Without EWM, uncurtailed 100% demand drains tanks within 6 h, yielding a total delivered volume of only 1,353.5 m³ followed by 18 h of total blackout. Under EWM, graded curtailment maintains continuous low-rate supply across all 24 h, delivering 1,843.1 m³ of water. As quantified in Fig. 6(b), EWM achieves a +36.2% net gain in total delivered water (+489.6 m³) and an -8.8% net reduction in cumulative unmet demand (5,979.7 m³ vs. 6,469.3 m³), proving that continuous low-rate emergency supply delivers significantly more water than short-lived full-rate supply followed by prolonged blackout. Table 5 summarizes these quantitative metrics.</w:t>
      </w:r>
    </w:p>
    <w:p w14:paraId="047DB7A7">
      <w:pPr>
        <w:spacing w:before="160" w:after="80"/>
        <w:jc w:val="center"/>
        <w:rPr>
          <w:rFonts w:hint="default" w:ascii="Times New Roman" w:hAnsi="Times New Roman" w:cs="Times New Roman"/>
          <w:i/>
          <w:iCs/>
          <w:sz w:val="24"/>
          <w:szCs w:val="24"/>
        </w:rPr>
      </w:pPr>
      <w:r>
        <w:rPr>
          <w:rFonts w:hint="default" w:ascii="Times New Roman" w:hAnsi="Times New Roman" w:cs="Times New Roman"/>
          <w:i/>
          <w:iCs/>
          <w:sz w:val="24"/>
          <w:szCs w:val="24"/>
        </w:rPr>
        <w:drawing>
          <wp:inline distT="0" distB="0" distL="114300" distR="114300">
            <wp:extent cx="5303520" cy="2290445"/>
            <wp:effectExtent l="0" t="0" r="5080" b="825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
                    <a:stretch>
                      <a:fillRect/>
                    </a:stretch>
                  </pic:blipFill>
                  <pic:spPr>
                    <a:xfrm>
                      <a:off x="0" y="0"/>
                      <a:ext cx="5303520" cy="2291004"/>
                    </a:xfrm>
                    <a:prstGeom prst="rect">
                      <a:avLst/>
                    </a:prstGeom>
                  </pic:spPr>
                </pic:pic>
              </a:graphicData>
            </a:graphic>
          </wp:inline>
        </w:drawing>
      </w:r>
    </w:p>
    <w:p w14:paraId="1DCD1620">
      <w:pPr>
        <w:spacing w:before="0" w:after="120" w:line="276" w:lineRule="auto"/>
        <w:rPr>
          <w:rFonts w:hint="default" w:ascii="Times New Roman" w:hAnsi="Times New Roman" w:cs="Times New Roman"/>
          <w:i/>
          <w:iCs/>
          <w:sz w:val="20"/>
          <w:szCs w:val="20"/>
        </w:rPr>
      </w:pPr>
      <w:r>
        <w:rPr>
          <w:rFonts w:hint="default" w:ascii="Times New Roman" w:hAnsi="Times New Roman" w:cs="Times New Roman"/>
          <w:b/>
          <w:i/>
          <w:iCs/>
          <w:sz w:val="20"/>
          <w:szCs w:val="20"/>
        </w:rPr>
        <w:t>Fig. 6. Dual-metric resilience comparison and volumetric water accounting (t=24–48 h). (a) compares Pressure Resilience Index (RI</w:t>
      </w:r>
      <w:r>
        <w:rPr>
          <w:rFonts w:hint="default" w:ascii="Times New Roman" w:hAnsi="Times New Roman" w:cs="Times New Roman"/>
          <w:b/>
          <w:i/>
          <w:iCs/>
          <w:sz w:val="20"/>
          <w:szCs w:val="20"/>
          <w:vertAlign w:val="subscript"/>
        </w:rPr>
        <w:t>pressure</w:t>
      </w:r>
      <w:r>
        <w:rPr>
          <w:rFonts w:hint="default" w:ascii="Times New Roman" w:hAnsi="Times New Roman" w:cs="Times New Roman"/>
          <w:b/>
          <w:i/>
          <w:iCs/>
          <w:sz w:val="20"/>
          <w:szCs w:val="20"/>
        </w:rPr>
        <w:t>) and Service Resilience Index (RI</w:t>
      </w:r>
      <w:r>
        <w:rPr>
          <w:rFonts w:hint="default" w:ascii="Times New Roman" w:hAnsi="Times New Roman" w:cs="Times New Roman"/>
          <w:b/>
          <w:i/>
          <w:iCs/>
          <w:sz w:val="20"/>
          <w:szCs w:val="20"/>
          <w:vertAlign w:val="subscript"/>
        </w:rPr>
        <w:t>service</w:t>
      </w:r>
      <w:r>
        <w:rPr>
          <w:rFonts w:hint="default" w:ascii="Times New Roman" w:hAnsi="Times New Roman" w:cs="Times New Roman"/>
          <w:b/>
          <w:i/>
          <w:iCs/>
          <w:sz w:val="20"/>
          <w:szCs w:val="20"/>
        </w:rPr>
        <w:t>).</w:t>
      </w:r>
      <w:r>
        <w:rPr>
          <w:rFonts w:hint="default" w:ascii="Times New Roman" w:hAnsi="Times New Roman" w:cs="Times New Roman"/>
          <w:b/>
          <w:i/>
          <w:iCs/>
          <w:sz w:val="20"/>
          <w:szCs w:val="20"/>
          <w:lang w:val="en-US" w:eastAsia="zh-CN"/>
        </w:rPr>
        <w:t xml:space="preserve"> </w:t>
      </w:r>
      <w:r>
        <w:rPr>
          <w:rFonts w:hint="default" w:ascii="Times New Roman" w:hAnsi="Times New Roman" w:cs="Times New Roman"/>
          <w:b/>
          <w:i/>
          <w:iCs/>
          <w:sz w:val="20"/>
          <w:szCs w:val="20"/>
        </w:rPr>
        <w:t>(b) illustrates cumulative delivered water volume (V</w:t>
      </w:r>
      <w:r>
        <w:rPr>
          <w:rFonts w:hint="default" w:ascii="Times New Roman" w:hAnsi="Times New Roman" w:cs="Times New Roman"/>
          <w:b/>
          <w:i/>
          <w:iCs/>
          <w:sz w:val="20"/>
          <w:szCs w:val="20"/>
          <w:vertAlign w:val="subscript"/>
        </w:rPr>
        <w:t>del</w:t>
      </w:r>
      <w:r>
        <w:rPr>
          <w:rFonts w:hint="default" w:ascii="Times New Roman" w:hAnsi="Times New Roman" w:cs="Times New Roman"/>
          <w:b/>
          <w:i/>
          <w:iCs/>
          <w:sz w:val="20"/>
          <w:szCs w:val="20"/>
        </w:rPr>
        <w:t>) and unmet demand (V</w:t>
      </w:r>
      <w:r>
        <w:rPr>
          <w:rFonts w:hint="default" w:ascii="Times New Roman" w:hAnsi="Times New Roman" w:cs="Times New Roman"/>
          <w:b/>
          <w:i/>
          <w:iCs/>
          <w:sz w:val="20"/>
          <w:szCs w:val="20"/>
          <w:vertAlign w:val="subscript"/>
        </w:rPr>
        <w:t>unmet</w:t>
      </w:r>
      <w:r>
        <w:rPr>
          <w:rFonts w:hint="default" w:ascii="Times New Roman" w:hAnsi="Times New Roman" w:cs="Times New Roman"/>
          <w:b/>
          <w:i/>
          <w:iCs/>
          <w:sz w:val="20"/>
          <w:szCs w:val="20"/>
        </w:rPr>
        <w:t>), quantifying the +36.2% net gain in delivered water.</w:t>
      </w:r>
    </w:p>
    <w:p w14:paraId="4E153185">
      <w:pPr>
        <w:spacing w:before="0" w:after="120" w:line="276" w:lineRule="auto"/>
        <w:rPr>
          <w:rFonts w:hint="default" w:ascii="Times New Roman" w:hAnsi="Times New Roman" w:cs="Times New Roman"/>
          <w:i/>
          <w:iCs/>
          <w:sz w:val="20"/>
          <w:szCs w:val="20"/>
        </w:rPr>
      </w:pPr>
      <w:r>
        <w:rPr>
          <w:rFonts w:hint="default" w:ascii="Times New Roman" w:hAnsi="Times New Roman" w:cs="Times New Roman"/>
          <w:b/>
          <w:i/>
          <w:iCs/>
          <w:sz w:val="20"/>
          <w:szCs w:val="20"/>
        </w:rPr>
        <w:t>Table 5: Dual-metric resilience assessment and volumetric water accounting (t=24–48 h)</w:t>
      </w:r>
    </w:p>
    <w:tbl>
      <w:tblPr>
        <w:tblStyle w:val="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2"/>
        <w:gridCol w:w="1544"/>
        <w:gridCol w:w="1275"/>
        <w:gridCol w:w="1270"/>
        <w:gridCol w:w="1247"/>
        <w:gridCol w:w="1918"/>
      </w:tblGrid>
      <w:tr w14:paraId="19ADF1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4" w:space="0"/>
              <w:tl2br w:val="nil"/>
            </w:tcBorders>
            <w:shd w:val="clear" w:color="auto" w:fill="FFFFFF"/>
            <w:tcMar>
              <w:top w:w="120" w:type="dxa"/>
              <w:left w:w="150" w:type="dxa"/>
              <w:bottom w:w="120" w:type="dxa"/>
              <w:right w:w="150" w:type="dxa"/>
            </w:tcMar>
          </w:tcPr>
          <w:p w14:paraId="05822757">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Metric Category</w:t>
            </w:r>
          </w:p>
        </w:tc>
        <w:tc>
          <w:tcPr>
            <w:tcW w:w="0" w:type="auto"/>
            <w:tcBorders>
              <w:bottom w:val="single" w:color="000000" w:sz="4" w:space="0"/>
            </w:tcBorders>
            <w:shd w:val="clear" w:color="auto" w:fill="FFFFFF"/>
            <w:tcMar>
              <w:top w:w="120" w:type="dxa"/>
              <w:left w:w="150" w:type="dxa"/>
              <w:bottom w:w="120" w:type="dxa"/>
              <w:right w:w="150" w:type="dxa"/>
            </w:tcMar>
          </w:tcPr>
          <w:p w14:paraId="5AA8BA13">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Performance Indicator</w:t>
            </w:r>
          </w:p>
        </w:tc>
        <w:tc>
          <w:tcPr>
            <w:tcW w:w="0" w:type="auto"/>
            <w:tcBorders>
              <w:bottom w:val="single" w:color="000000" w:sz="4" w:space="0"/>
            </w:tcBorders>
            <w:shd w:val="clear" w:color="auto" w:fill="FFFFFF"/>
            <w:tcMar>
              <w:top w:w="120" w:type="dxa"/>
              <w:left w:w="150" w:type="dxa"/>
              <w:bottom w:w="120" w:type="dxa"/>
              <w:right w:w="150" w:type="dxa"/>
            </w:tcMar>
          </w:tcPr>
          <w:p w14:paraId="7AC28571">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Baseline (Without EWM)</w:t>
            </w:r>
          </w:p>
        </w:tc>
        <w:tc>
          <w:tcPr>
            <w:tcW w:w="0" w:type="auto"/>
            <w:tcBorders>
              <w:bottom w:val="single" w:color="000000" w:sz="4" w:space="0"/>
            </w:tcBorders>
            <w:shd w:val="clear" w:color="auto" w:fill="FFFFFF"/>
            <w:tcMar>
              <w:top w:w="120" w:type="dxa"/>
              <w:left w:w="150" w:type="dxa"/>
              <w:bottom w:w="120" w:type="dxa"/>
              <w:right w:w="150" w:type="dxa"/>
            </w:tcMar>
          </w:tcPr>
          <w:p w14:paraId="645A95E7">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Proposed (With EWM)</w:t>
            </w:r>
          </w:p>
        </w:tc>
        <w:tc>
          <w:tcPr>
            <w:tcW w:w="0" w:type="auto"/>
            <w:tcBorders>
              <w:bottom w:val="single" w:color="000000" w:sz="4" w:space="0"/>
            </w:tcBorders>
            <w:shd w:val="clear" w:color="auto" w:fill="FFFFFF"/>
            <w:tcMar>
              <w:top w:w="120" w:type="dxa"/>
              <w:left w:w="150" w:type="dxa"/>
              <w:bottom w:w="120" w:type="dxa"/>
              <w:right w:w="150" w:type="dxa"/>
            </w:tcMar>
          </w:tcPr>
          <w:p w14:paraId="366C4A55">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Net Change (Δ)</w:t>
            </w:r>
          </w:p>
        </w:tc>
        <w:tc>
          <w:tcPr>
            <w:tcW w:w="1918" w:type="dxa"/>
            <w:tcBorders>
              <w:bottom w:val="single" w:color="000000" w:sz="4" w:space="0"/>
            </w:tcBorders>
            <w:shd w:val="clear" w:color="auto" w:fill="FFFFFF"/>
            <w:tcMar>
              <w:top w:w="120" w:type="dxa"/>
              <w:left w:w="150" w:type="dxa"/>
              <w:bottom w:w="120" w:type="dxa"/>
              <w:right w:w="150" w:type="dxa"/>
            </w:tcMar>
          </w:tcPr>
          <w:p w14:paraId="74BE0EBF">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Physical &amp;</w:t>
            </w:r>
            <w:r>
              <w:rPr>
                <w:rFonts w:hint="default" w:ascii="Times New Roman" w:hAnsi="Times New Roman" w:cs="Times New Roman"/>
                <w:b/>
                <w:bCs/>
                <w:i/>
                <w:iCs/>
                <w:color w:val="000000"/>
                <w:sz w:val="20"/>
                <w:szCs w:val="20"/>
                <w:lang w:val="en-US" w:eastAsia="zh-CN"/>
              </w:rPr>
              <w:t xml:space="preserve"> </w:t>
            </w:r>
            <w:r>
              <w:rPr>
                <w:rFonts w:hint="default" w:ascii="Times New Roman" w:hAnsi="Times New Roman" w:cs="Times New Roman"/>
                <w:b/>
                <w:bCs/>
                <w:i/>
                <w:iCs/>
                <w:color w:val="000000"/>
                <w:sz w:val="20"/>
                <w:szCs w:val="20"/>
              </w:rPr>
              <w:t>Operational Significance</w:t>
            </w:r>
          </w:p>
        </w:tc>
      </w:tr>
      <w:tr w14:paraId="5C03DA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tcMar>
              <w:top w:w="100" w:type="dxa"/>
              <w:left w:w="150" w:type="dxa"/>
              <w:bottom w:w="100" w:type="dxa"/>
              <w:right w:w="150" w:type="dxa"/>
            </w:tcMar>
          </w:tcPr>
          <w:p w14:paraId="6CD43DF0">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Resilience Index</w:t>
            </w:r>
          </w:p>
        </w:tc>
        <w:tc>
          <w:tcPr>
            <w:tcW w:w="0" w:type="auto"/>
            <w:tcBorders>
              <w:top w:val="single" w:color="000000" w:sz="4" w:space="0"/>
            </w:tcBorders>
            <w:shd w:val="clear" w:color="auto" w:fill="FFFFFF"/>
            <w:tcMar>
              <w:top w:w="100" w:type="dxa"/>
              <w:left w:w="150" w:type="dxa"/>
              <w:bottom w:w="100" w:type="dxa"/>
              <w:right w:w="150" w:type="dxa"/>
            </w:tcMar>
          </w:tcPr>
          <w:p w14:paraId="418EF1CA">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Pressure Index (RI</w:t>
            </w:r>
            <w:r>
              <w:rPr>
                <w:rFonts w:hint="default" w:ascii="Times New Roman" w:hAnsi="Times New Roman" w:cs="Times New Roman"/>
                <w:b w:val="0"/>
                <w:i/>
                <w:iCs/>
                <w:color w:val="000000"/>
                <w:sz w:val="20"/>
                <w:szCs w:val="20"/>
                <w:vertAlign w:val="subscript"/>
              </w:rPr>
              <w:t>pressure</w:t>
            </w:r>
            <w:r>
              <w:rPr>
                <w:rFonts w:hint="default" w:ascii="Times New Roman" w:hAnsi="Times New Roman" w:cs="Times New Roman"/>
                <w:b w:val="0"/>
                <w:i/>
                <w:iCs/>
                <w:color w:val="000000"/>
                <w:sz w:val="20"/>
                <w:szCs w:val="20"/>
              </w:rPr>
              <w:t>)</w:t>
            </w:r>
          </w:p>
        </w:tc>
        <w:tc>
          <w:tcPr>
            <w:tcW w:w="0" w:type="auto"/>
            <w:tcBorders>
              <w:top w:val="single" w:color="000000" w:sz="4" w:space="0"/>
            </w:tcBorders>
            <w:shd w:val="clear" w:color="auto" w:fill="FFFFFF"/>
            <w:tcMar>
              <w:top w:w="100" w:type="dxa"/>
              <w:left w:w="150" w:type="dxa"/>
              <w:bottom w:w="100" w:type="dxa"/>
              <w:right w:w="150" w:type="dxa"/>
            </w:tcMar>
          </w:tcPr>
          <w:p w14:paraId="0E661F6B">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0.22</w:t>
            </w:r>
          </w:p>
        </w:tc>
        <w:tc>
          <w:tcPr>
            <w:tcW w:w="0" w:type="auto"/>
            <w:tcBorders>
              <w:top w:val="single" w:color="000000" w:sz="4" w:space="0"/>
            </w:tcBorders>
            <w:shd w:val="clear" w:color="auto" w:fill="FFFFFF"/>
            <w:tcMar>
              <w:top w:w="100" w:type="dxa"/>
              <w:left w:w="150" w:type="dxa"/>
              <w:bottom w:w="100" w:type="dxa"/>
              <w:right w:w="150" w:type="dxa"/>
            </w:tcMar>
          </w:tcPr>
          <w:p w14:paraId="370E2EE4">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0.84</w:t>
            </w:r>
          </w:p>
        </w:tc>
        <w:tc>
          <w:tcPr>
            <w:tcW w:w="0" w:type="auto"/>
            <w:tcBorders>
              <w:top w:val="single" w:color="000000" w:sz="4" w:space="0"/>
            </w:tcBorders>
            <w:shd w:val="clear" w:color="auto" w:fill="FFFFFF"/>
            <w:tcMar>
              <w:top w:w="100" w:type="dxa"/>
              <w:left w:w="150" w:type="dxa"/>
              <w:bottom w:w="100" w:type="dxa"/>
              <w:right w:w="150" w:type="dxa"/>
            </w:tcMar>
          </w:tcPr>
          <w:p w14:paraId="63F7D2E7">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+0.62</w:t>
            </w:r>
          </w:p>
        </w:tc>
        <w:tc>
          <w:tcPr>
            <w:tcW w:w="1918" w:type="dxa"/>
            <w:tcBorders>
              <w:top w:val="single" w:color="000000" w:sz="4" w:space="0"/>
            </w:tcBorders>
            <w:shd w:val="clear" w:color="auto" w:fill="FFFFFF"/>
            <w:tcMar>
              <w:top w:w="100" w:type="dxa"/>
              <w:left w:w="150" w:type="dxa"/>
              <w:bottom w:w="100" w:type="dxa"/>
              <w:right w:w="150" w:type="dxa"/>
            </w:tcMar>
          </w:tcPr>
          <w:p w14:paraId="39111774">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Pipeline head maintained above critical threshold.</w:t>
            </w:r>
          </w:p>
        </w:tc>
      </w:tr>
      <w:tr w14:paraId="395E6A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33BC30F9">
            <w:pPr>
              <w:spacing w:before="40" w:after="40"/>
              <w:rPr>
                <w:rFonts w:hint="default" w:ascii="Times New Roman" w:hAnsi="Times New Roman" w:cs="Times New Roman"/>
                <w:b/>
                <w:bCs/>
                <w:i/>
                <w:iCs/>
                <w:color w:val="000000"/>
                <w:sz w:val="20"/>
                <w:szCs w:val="20"/>
              </w:rPr>
            </w:pPr>
          </w:p>
        </w:tc>
        <w:tc>
          <w:tcPr>
            <w:tcW w:w="0" w:type="auto"/>
            <w:shd w:val="clear" w:color="auto" w:fill="FFFFFF"/>
            <w:tcMar>
              <w:top w:w="100" w:type="dxa"/>
              <w:left w:w="150" w:type="dxa"/>
              <w:bottom w:w="100" w:type="dxa"/>
              <w:right w:w="150" w:type="dxa"/>
            </w:tcMar>
          </w:tcPr>
          <w:p w14:paraId="276C1CC6">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Service Index (RI</w:t>
            </w:r>
            <w:r>
              <w:rPr>
                <w:rFonts w:hint="default" w:ascii="Times New Roman" w:hAnsi="Times New Roman" w:cs="Times New Roman"/>
                <w:b w:val="0"/>
                <w:i/>
                <w:iCs/>
                <w:color w:val="000000"/>
                <w:sz w:val="20"/>
                <w:szCs w:val="20"/>
                <w:vertAlign w:val="subscript"/>
              </w:rPr>
              <w:t>service</w:t>
            </w:r>
            <w:r>
              <w:rPr>
                <w:rFonts w:hint="default" w:ascii="Times New Roman" w:hAnsi="Times New Roman" w:cs="Times New Roman"/>
                <w:b w:val="0"/>
                <w:i/>
                <w:iCs/>
                <w:color w:val="000000"/>
                <w:sz w:val="20"/>
                <w:szCs w:val="20"/>
              </w:rPr>
              <w:t>)</w:t>
            </w:r>
          </w:p>
        </w:tc>
        <w:tc>
          <w:tcPr>
            <w:tcW w:w="0" w:type="auto"/>
            <w:shd w:val="clear" w:color="auto" w:fill="FFFFFF"/>
            <w:tcMar>
              <w:top w:w="100" w:type="dxa"/>
              <w:left w:w="150" w:type="dxa"/>
              <w:bottom w:w="100" w:type="dxa"/>
              <w:right w:w="150" w:type="dxa"/>
            </w:tcMar>
          </w:tcPr>
          <w:p w14:paraId="3A2EA222">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0.23</w:t>
            </w:r>
          </w:p>
        </w:tc>
        <w:tc>
          <w:tcPr>
            <w:tcW w:w="0" w:type="auto"/>
            <w:shd w:val="clear" w:color="auto" w:fill="FFFFFF"/>
            <w:tcMar>
              <w:top w:w="100" w:type="dxa"/>
              <w:left w:w="150" w:type="dxa"/>
              <w:bottom w:w="100" w:type="dxa"/>
              <w:right w:w="150" w:type="dxa"/>
            </w:tcMar>
          </w:tcPr>
          <w:p w14:paraId="3D986108">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0.29</w:t>
            </w:r>
          </w:p>
        </w:tc>
        <w:tc>
          <w:tcPr>
            <w:tcW w:w="0" w:type="auto"/>
            <w:shd w:val="clear" w:color="auto" w:fill="FFFFFF"/>
            <w:tcMar>
              <w:top w:w="100" w:type="dxa"/>
              <w:left w:w="150" w:type="dxa"/>
              <w:bottom w:w="100" w:type="dxa"/>
              <w:right w:w="150" w:type="dxa"/>
            </w:tcMar>
          </w:tcPr>
          <w:p w14:paraId="41E365C0">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+0.058</w:t>
            </w:r>
          </w:p>
        </w:tc>
        <w:tc>
          <w:tcPr>
            <w:tcW w:w="1918" w:type="dxa"/>
            <w:shd w:val="clear" w:color="auto" w:fill="FFFFFF"/>
            <w:tcMar>
              <w:top w:w="100" w:type="dxa"/>
              <w:left w:w="150" w:type="dxa"/>
              <w:bottom w:w="100" w:type="dxa"/>
              <w:right w:w="150" w:type="dxa"/>
            </w:tcMar>
          </w:tcPr>
          <w:p w14:paraId="5359A1E2">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Continuity of actual delivered water service.</w:t>
            </w:r>
          </w:p>
        </w:tc>
      </w:tr>
      <w:tr w14:paraId="76BFF1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7AA5BD56">
            <w:pPr>
              <w:spacing w:before="40" w:after="40"/>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Water Accounting</w:t>
            </w:r>
          </w:p>
        </w:tc>
        <w:tc>
          <w:tcPr>
            <w:tcW w:w="0" w:type="auto"/>
            <w:shd w:val="clear" w:color="auto" w:fill="FFFFFF"/>
            <w:tcMar>
              <w:top w:w="100" w:type="dxa"/>
              <w:left w:w="150" w:type="dxa"/>
              <w:bottom w:w="100" w:type="dxa"/>
              <w:right w:w="150" w:type="dxa"/>
            </w:tcMar>
          </w:tcPr>
          <w:p w14:paraId="1660ACB0">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Delivered Volume (V</w:t>
            </w:r>
            <w:r>
              <w:rPr>
                <w:rFonts w:hint="default" w:ascii="Times New Roman" w:hAnsi="Times New Roman" w:cs="Times New Roman"/>
                <w:b w:val="0"/>
                <w:i/>
                <w:iCs/>
                <w:color w:val="000000"/>
                <w:sz w:val="20"/>
                <w:szCs w:val="20"/>
                <w:vertAlign w:val="subscript"/>
              </w:rPr>
              <w:t>del</w:t>
            </w:r>
            <w:r>
              <w:rPr>
                <w:rFonts w:hint="default" w:ascii="Times New Roman" w:hAnsi="Times New Roman" w:cs="Times New Roman"/>
                <w:b w:val="0"/>
                <w:i/>
                <w:iCs/>
                <w:color w:val="000000"/>
                <w:sz w:val="20"/>
                <w:szCs w:val="20"/>
              </w:rPr>
              <w:t>)</w:t>
            </w:r>
          </w:p>
        </w:tc>
        <w:tc>
          <w:tcPr>
            <w:tcW w:w="0" w:type="auto"/>
            <w:shd w:val="clear" w:color="auto" w:fill="FFFFFF"/>
            <w:tcMar>
              <w:top w:w="100" w:type="dxa"/>
              <w:left w:w="150" w:type="dxa"/>
              <w:bottom w:w="100" w:type="dxa"/>
              <w:right w:w="150" w:type="dxa"/>
            </w:tcMar>
          </w:tcPr>
          <w:p w14:paraId="367E3BE3">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1,353.5 m³</w:t>
            </w:r>
          </w:p>
        </w:tc>
        <w:tc>
          <w:tcPr>
            <w:tcW w:w="0" w:type="auto"/>
            <w:shd w:val="clear" w:color="auto" w:fill="FFFFFF"/>
            <w:tcMar>
              <w:top w:w="100" w:type="dxa"/>
              <w:left w:w="150" w:type="dxa"/>
              <w:bottom w:w="100" w:type="dxa"/>
              <w:right w:w="150" w:type="dxa"/>
            </w:tcMar>
          </w:tcPr>
          <w:p w14:paraId="0EF2F028">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1,843.1 m³</w:t>
            </w:r>
          </w:p>
        </w:tc>
        <w:tc>
          <w:tcPr>
            <w:tcW w:w="0" w:type="auto"/>
            <w:shd w:val="clear" w:color="auto" w:fill="FFFFFF"/>
            <w:tcMar>
              <w:top w:w="100" w:type="dxa"/>
              <w:left w:w="150" w:type="dxa"/>
              <w:bottom w:w="100" w:type="dxa"/>
              <w:right w:w="150" w:type="dxa"/>
            </w:tcMar>
          </w:tcPr>
          <w:p w14:paraId="2FB31A2C">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+489.6 m³ (+36.2%)</w:t>
            </w:r>
          </w:p>
        </w:tc>
        <w:tc>
          <w:tcPr>
            <w:tcW w:w="1918" w:type="dxa"/>
            <w:shd w:val="clear" w:color="auto" w:fill="FFFFFF"/>
            <w:tcMar>
              <w:top w:w="100" w:type="dxa"/>
              <w:left w:w="150" w:type="dxa"/>
              <w:bottom w:w="100" w:type="dxa"/>
              <w:right w:w="150" w:type="dxa"/>
            </w:tcMar>
          </w:tcPr>
          <w:p w14:paraId="38BEF7A1">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Net gain in actual water delivered to consumers.</w:t>
            </w:r>
          </w:p>
        </w:tc>
      </w:tr>
      <w:tr w14:paraId="2E05F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4BAACC9">
            <w:pPr>
              <w:spacing w:before="40" w:after="40"/>
              <w:rPr>
                <w:rFonts w:hint="default" w:ascii="Times New Roman" w:hAnsi="Times New Roman" w:cs="Times New Roman"/>
                <w:b w:val="0"/>
                <w:i/>
                <w:iCs/>
                <w:color w:val="000000"/>
                <w:sz w:val="20"/>
                <w:szCs w:val="20"/>
              </w:rPr>
            </w:pPr>
          </w:p>
        </w:tc>
        <w:tc>
          <w:tcPr>
            <w:tcW w:w="0" w:type="auto"/>
            <w:shd w:val="clear" w:color="auto" w:fill="FFFFFF"/>
            <w:tcMar>
              <w:top w:w="100" w:type="dxa"/>
              <w:left w:w="150" w:type="dxa"/>
              <w:bottom w:w="100" w:type="dxa"/>
              <w:right w:w="150" w:type="dxa"/>
            </w:tcMar>
          </w:tcPr>
          <w:p w14:paraId="7593C7B9">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Unmet Demand (V</w:t>
            </w:r>
            <w:r>
              <w:rPr>
                <w:rFonts w:hint="default" w:ascii="Times New Roman" w:hAnsi="Times New Roman" w:cs="Times New Roman"/>
                <w:b w:val="0"/>
                <w:i/>
                <w:iCs/>
                <w:color w:val="000000"/>
                <w:sz w:val="20"/>
                <w:szCs w:val="20"/>
                <w:vertAlign w:val="subscript"/>
              </w:rPr>
              <w:t>unmet</w:t>
            </w:r>
            <w:r>
              <w:rPr>
                <w:rFonts w:hint="default" w:ascii="Times New Roman" w:hAnsi="Times New Roman" w:cs="Times New Roman"/>
                <w:b w:val="0"/>
                <w:i/>
                <w:iCs/>
                <w:color w:val="000000"/>
                <w:sz w:val="20"/>
                <w:szCs w:val="20"/>
              </w:rPr>
              <w:t>)</w:t>
            </w:r>
          </w:p>
        </w:tc>
        <w:tc>
          <w:tcPr>
            <w:tcW w:w="0" w:type="auto"/>
            <w:shd w:val="clear" w:color="auto" w:fill="FFFFFF"/>
            <w:tcMar>
              <w:top w:w="100" w:type="dxa"/>
              <w:left w:w="150" w:type="dxa"/>
              <w:bottom w:w="100" w:type="dxa"/>
              <w:right w:w="150" w:type="dxa"/>
            </w:tcMar>
          </w:tcPr>
          <w:p w14:paraId="74A52CC9">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6,469.3 m³</w:t>
            </w:r>
          </w:p>
        </w:tc>
        <w:tc>
          <w:tcPr>
            <w:tcW w:w="0" w:type="auto"/>
            <w:shd w:val="clear" w:color="auto" w:fill="FFFFFF"/>
            <w:tcMar>
              <w:top w:w="100" w:type="dxa"/>
              <w:left w:w="150" w:type="dxa"/>
              <w:bottom w:w="100" w:type="dxa"/>
              <w:right w:w="150" w:type="dxa"/>
            </w:tcMar>
          </w:tcPr>
          <w:p w14:paraId="3EA3A0EF">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5,979.7 m³</w:t>
            </w:r>
          </w:p>
        </w:tc>
        <w:tc>
          <w:tcPr>
            <w:tcW w:w="0" w:type="auto"/>
            <w:shd w:val="clear" w:color="auto" w:fill="FFFFFF"/>
            <w:tcMar>
              <w:top w:w="100" w:type="dxa"/>
              <w:left w:w="150" w:type="dxa"/>
              <w:bottom w:w="100" w:type="dxa"/>
              <w:right w:w="150" w:type="dxa"/>
            </w:tcMar>
          </w:tcPr>
          <w:p w14:paraId="594722E5">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-8.8% (-489.6  m³)</w:t>
            </w:r>
          </w:p>
        </w:tc>
        <w:tc>
          <w:tcPr>
            <w:tcW w:w="1918" w:type="dxa"/>
            <w:shd w:val="clear" w:color="auto" w:fill="FFFFFF"/>
            <w:tcMar>
              <w:top w:w="100" w:type="dxa"/>
              <w:left w:w="150" w:type="dxa"/>
              <w:bottom w:w="100" w:type="dxa"/>
              <w:right w:w="150" w:type="dxa"/>
            </w:tcMar>
          </w:tcPr>
          <w:p w14:paraId="280F2B50">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Net reduction in municipal water deficit.</w:t>
            </w:r>
          </w:p>
        </w:tc>
      </w:tr>
      <w:tr w14:paraId="1200ED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57341C6E">
            <w:pPr>
              <w:spacing w:before="40" w:after="40"/>
              <w:rPr>
                <w:rFonts w:hint="default" w:ascii="Times New Roman" w:hAnsi="Times New Roman" w:cs="Times New Roman"/>
                <w:b w:val="0"/>
                <w:i/>
                <w:iCs/>
                <w:color w:val="000000"/>
                <w:sz w:val="20"/>
                <w:szCs w:val="20"/>
              </w:rPr>
            </w:pPr>
          </w:p>
        </w:tc>
        <w:tc>
          <w:tcPr>
            <w:tcW w:w="0" w:type="auto"/>
            <w:shd w:val="clear" w:color="auto" w:fill="FFFFFF"/>
            <w:tcMar>
              <w:top w:w="100" w:type="dxa"/>
              <w:left w:w="150" w:type="dxa"/>
              <w:bottom w:w="100" w:type="dxa"/>
              <w:right w:w="150" w:type="dxa"/>
            </w:tcMar>
          </w:tcPr>
          <w:p w14:paraId="7275173C">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Nominal Demand (V</w:t>
            </w:r>
            <w:r>
              <w:rPr>
                <w:rFonts w:hint="default" w:ascii="Times New Roman" w:hAnsi="Times New Roman" w:cs="Times New Roman"/>
                <w:b w:val="0"/>
                <w:i/>
                <w:iCs/>
                <w:color w:val="000000"/>
                <w:sz w:val="20"/>
                <w:szCs w:val="20"/>
                <w:vertAlign w:val="subscript"/>
              </w:rPr>
              <w:t>req</w:t>
            </w:r>
            <w:r>
              <w:rPr>
                <w:rFonts w:hint="default" w:ascii="Times New Roman" w:hAnsi="Times New Roman" w:cs="Times New Roman"/>
                <w:b w:val="0"/>
                <w:i/>
                <w:iCs/>
                <w:color w:val="000000"/>
                <w:sz w:val="20"/>
                <w:szCs w:val="20"/>
              </w:rPr>
              <w:t>)</w:t>
            </w:r>
          </w:p>
        </w:tc>
        <w:tc>
          <w:tcPr>
            <w:tcW w:w="0" w:type="auto"/>
            <w:shd w:val="clear" w:color="auto" w:fill="FFFFFF"/>
            <w:tcMar>
              <w:top w:w="100" w:type="dxa"/>
              <w:left w:w="150" w:type="dxa"/>
              <w:bottom w:w="100" w:type="dxa"/>
              <w:right w:w="150" w:type="dxa"/>
            </w:tcMar>
          </w:tcPr>
          <w:p w14:paraId="49E308E6">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7,822.8 m³</w:t>
            </w:r>
          </w:p>
        </w:tc>
        <w:tc>
          <w:tcPr>
            <w:tcW w:w="0" w:type="auto"/>
            <w:shd w:val="clear" w:color="auto" w:fill="FFFFFF"/>
            <w:tcMar>
              <w:top w:w="100" w:type="dxa"/>
              <w:left w:w="150" w:type="dxa"/>
              <w:bottom w:w="100" w:type="dxa"/>
              <w:right w:w="150" w:type="dxa"/>
            </w:tcMar>
          </w:tcPr>
          <w:p w14:paraId="40F92017">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7,822.8 m³</w:t>
            </w:r>
          </w:p>
        </w:tc>
        <w:tc>
          <w:tcPr>
            <w:tcW w:w="0" w:type="auto"/>
            <w:shd w:val="clear" w:color="auto" w:fill="FFFFFF"/>
            <w:tcMar>
              <w:top w:w="100" w:type="dxa"/>
              <w:left w:w="150" w:type="dxa"/>
              <w:bottom w:w="100" w:type="dxa"/>
              <w:right w:w="150" w:type="dxa"/>
            </w:tcMar>
          </w:tcPr>
          <w:p w14:paraId="483BA924">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0.0 m³</w:t>
            </w:r>
          </w:p>
        </w:tc>
        <w:tc>
          <w:tcPr>
            <w:tcW w:w="1918" w:type="dxa"/>
            <w:shd w:val="clear" w:color="auto" w:fill="FFFFFF"/>
            <w:tcMar>
              <w:top w:w="100" w:type="dxa"/>
              <w:left w:w="150" w:type="dxa"/>
              <w:bottom w:w="100" w:type="dxa"/>
              <w:right w:w="150" w:type="dxa"/>
            </w:tcMar>
          </w:tcPr>
          <w:p w14:paraId="4895AB9C">
            <w:pPr>
              <w:spacing w:before="40" w:after="40"/>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Shared uncurtailed baseline water demand.</w:t>
            </w:r>
          </w:p>
        </w:tc>
      </w:tr>
    </w:tbl>
    <w:p w14:paraId="538421C4">
      <w:pPr>
        <w:spacing w:before="156" w:beforeLines="50" w:after="156" w:afterLines="50" w:line="360" w:lineRule="auto"/>
        <w:rPr>
          <w:rFonts w:hint="default" w:ascii="Times New Roman" w:hAnsi="Times New Roman" w:cs="Times New Roman"/>
          <w:b/>
          <w:bCs/>
          <w:i/>
          <w:iCs/>
          <w:color w:val="auto"/>
          <w:sz w:val="24"/>
          <w:szCs w:val="24"/>
          <w:highlight w:val="none"/>
          <w:lang w:val="en-US" w:eastAsia="zh-CN"/>
        </w:rPr>
      </w:pPr>
    </w:p>
    <w:p w14:paraId="5301E453">
      <w:pPr>
        <w:spacing w:before="156" w:beforeLines="50" w:after="156" w:afterLines="50" w:line="360" w:lineRule="auto"/>
        <w:jc w:val="both"/>
        <w:rPr>
          <w:rFonts w:hint="default" w:ascii="Times New Roman" w:hAnsi="Times New Roman" w:eastAsia="宋体" w:cs="Times New Roman"/>
          <w:b/>
          <w:bCs/>
          <w:i/>
          <w:iCs/>
          <w:color w:val="auto"/>
          <w:sz w:val="24"/>
          <w:szCs w:val="24"/>
          <w:highlight w:val="none"/>
        </w:rPr>
      </w:pPr>
      <w:r>
        <w:rPr>
          <w:rFonts w:hint="default" w:ascii="Times New Roman" w:hAnsi="Times New Roman" w:eastAsia="宋体" w:cs="Times New Roman"/>
          <w:b/>
          <w:bCs/>
          <w:i/>
          <w:iCs/>
          <w:color w:val="auto"/>
          <w:sz w:val="24"/>
          <w:szCs w:val="24"/>
          <w:highlight w:val="none"/>
        </w:rPr>
        <w:t>3.3 System Resilience and Integrated Performance</w:t>
      </w:r>
    </w:p>
    <w:p w14:paraId="5C4E6DA0">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To evaluate model robustness and identify operational application boundaries, a multi-factor sensitivity analysis was executed across risk threshold shifts (Δ H ∈ [-1.0, +1.0] m), tank storage scaling (D_{tank} ∈ [0.6×, 1.4×]), and outage durations (T_{fault} ∈ [12–48 h]). The visual trajectories and performance trade-offs are depicted in Fig. 7 and Fig. 8, with quantitative metrics summarized in Table 6.</w:t>
      </w:r>
    </w:p>
    <w:p w14:paraId="1A984593">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Fig. 7 illustrates the sensitivity of delivered water volume gain across varying outage durations in Fig. 7(a) and tank storage capacities in Fig. 7(b):</w:t>
      </w:r>
    </w:p>
    <w:p w14:paraId="4815CBBD">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(1) Outage Duration Sensitivity (Fig. 7(a)): The response trajectory reveals a critical operational application boundary at T_{fault} = 18 h. For short outages (T_{fault} = 12 h), passive tank storage is sufficient to maintain supply without reaching outlet closure; active demand curtailment under EWM causes unnecessary service restriction, resulting in a slight net reduction in delivered volume (-4.7%, represented by the over-curtailment region below 0%). Beyond 18 h, however, as uncurtailed tanks dry out, EWM yields massive positive gains, reaching +36.2% at 24 h and +117.9% at 48 h.</w:t>
      </w:r>
    </w:p>
    <w:p w14:paraId="0BC2D586">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(2) Tank Capacity Sensitivity (Fig. 7(b)): The curve exhibits a steep negative slope, demonstrating a strong inverse storage dependency. In storage-constrained networks (0.6× diameter), passive storage exhausts rapidly, making EWM essential and yielding a massive +208.2% gain in delivered water volume. Conversely, in systems with large storage tanks (1.4× diameter), passive storage alone buffers the outage, rendering active load shedding redundant (+0.09% gain).</w:t>
      </w:r>
    </w:p>
    <w:p w14:paraId="22520130">
      <w:pPr>
        <w:spacing w:before="160" w:after="80"/>
        <w:jc w:val="center"/>
        <w:rPr>
          <w:rFonts w:hint="default" w:ascii="Times New Roman" w:hAnsi="Times New Roman" w:cs="Times New Roman"/>
          <w:i/>
          <w:iCs/>
          <w:sz w:val="24"/>
          <w:szCs w:val="24"/>
        </w:rPr>
      </w:pPr>
      <w:r>
        <w:rPr>
          <w:rFonts w:hint="default" w:ascii="Times New Roman" w:hAnsi="Times New Roman" w:cs="Times New Roman"/>
          <w:i/>
          <w:iCs/>
          <w:sz w:val="24"/>
          <w:szCs w:val="24"/>
        </w:rPr>
        <w:drawing>
          <wp:inline distT="0" distB="0" distL="114300" distR="114300">
            <wp:extent cx="5303520" cy="2139950"/>
            <wp:effectExtent l="0" t="0" r="508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stretch>
                      <a:fillRect/>
                    </a:stretch>
                  </pic:blipFill>
                  <pic:spPr>
                    <a:xfrm>
                      <a:off x="0" y="0"/>
                      <a:ext cx="5303520" cy="2140216"/>
                    </a:xfrm>
                    <a:prstGeom prst="rect">
                      <a:avLst/>
                    </a:prstGeom>
                  </pic:spPr>
                </pic:pic>
              </a:graphicData>
            </a:graphic>
          </wp:inline>
        </w:drawing>
      </w:r>
    </w:p>
    <w:p w14:paraId="407A441A">
      <w:pPr>
        <w:spacing w:before="0" w:after="120" w:line="276" w:lineRule="auto"/>
        <w:rPr>
          <w:rFonts w:hint="default" w:ascii="Times New Roman" w:hAnsi="Times New Roman" w:cs="Times New Roman"/>
          <w:i/>
          <w:iCs/>
          <w:sz w:val="20"/>
          <w:szCs w:val="20"/>
        </w:rPr>
      </w:pPr>
      <w:r>
        <w:rPr>
          <w:rFonts w:hint="default" w:ascii="Times New Roman" w:hAnsi="Times New Roman" w:cs="Times New Roman"/>
          <w:b/>
          <w:i/>
          <w:iCs/>
          <w:sz w:val="20"/>
          <w:szCs w:val="20"/>
        </w:rPr>
        <w:t>Fig. 7. Sensitivity of delivered water volume gain and unmet demand reduction across outage durations (12–48 h, a) and tank storage capacities (0.6×–1.4×, b), highlighting the 18-h over-curtailment boundary and inverse storage dependency.</w:t>
      </w:r>
    </w:p>
    <w:p w14:paraId="10CC2CB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Fig. 8 presents the response of Pressure Resilience Index (RIpressure) and Service Resilience Index (RIservice) across risk threshold shifts (Δ H ∈ [-1.0, +1.0] m). Both metrics exhibit smooth, monotonic increases as thresholds are shifted upward (+1.0 m conservative triggering), with RIpressure rising from 0.81 to 0.87 and RIservice rising from 0.27 to 0.30. Crucially, delivered volume gains remain robustly positive (+27.1% to +45.3%) across all threshold levels, proving that EWM performance is highly tolerant to threshold calibration variations.</w:t>
      </w:r>
    </w:p>
    <w:p w14:paraId="76B36E19">
      <w:pPr>
        <w:spacing w:before="160" w:after="80"/>
        <w:jc w:val="center"/>
        <w:rPr>
          <w:rFonts w:hint="default" w:ascii="Times New Roman" w:hAnsi="Times New Roman" w:cs="Times New Roman"/>
          <w:i/>
          <w:iCs/>
          <w:sz w:val="24"/>
          <w:szCs w:val="24"/>
        </w:rPr>
      </w:pPr>
      <w:r>
        <w:rPr>
          <w:rFonts w:hint="default" w:ascii="Times New Roman" w:hAnsi="Times New Roman" w:cs="Times New Roman"/>
          <w:i/>
          <w:iCs/>
          <w:sz w:val="24"/>
          <w:szCs w:val="24"/>
        </w:rPr>
        <w:drawing>
          <wp:inline distT="0" distB="0" distL="114300" distR="114300">
            <wp:extent cx="5303520" cy="3149600"/>
            <wp:effectExtent l="0" t="0" r="508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5303520" cy="3149844"/>
                    </a:xfrm>
                    <a:prstGeom prst="rect">
                      <a:avLst/>
                    </a:prstGeom>
                  </pic:spPr>
                </pic:pic>
              </a:graphicData>
            </a:graphic>
          </wp:inline>
        </w:drawing>
      </w:r>
    </w:p>
    <w:p w14:paraId="7BD6412E">
      <w:pPr>
        <w:spacing w:before="0" w:after="120" w:line="276" w:lineRule="auto"/>
        <w:rPr>
          <w:rFonts w:hint="default" w:ascii="Times New Roman" w:hAnsi="Times New Roman" w:cs="Times New Roman"/>
          <w:i/>
          <w:iCs/>
          <w:sz w:val="20"/>
          <w:szCs w:val="20"/>
        </w:rPr>
      </w:pPr>
      <w:r>
        <w:rPr>
          <w:rFonts w:hint="default" w:ascii="Times New Roman" w:hAnsi="Times New Roman" w:cs="Times New Roman"/>
          <w:b/>
          <w:i/>
          <w:iCs/>
          <w:sz w:val="20"/>
          <w:szCs w:val="20"/>
        </w:rPr>
        <w:t>Fig. 8. Sensitivity of Pressure Resilience Index (RI</w:t>
      </w:r>
      <w:r>
        <w:rPr>
          <w:rFonts w:hint="default" w:ascii="Times New Roman" w:hAnsi="Times New Roman" w:cs="Times New Roman"/>
          <w:b/>
          <w:i/>
          <w:iCs/>
          <w:sz w:val="20"/>
          <w:szCs w:val="20"/>
          <w:vertAlign w:val="subscript"/>
        </w:rPr>
        <w:t>pressure</w:t>
      </w:r>
      <w:r>
        <w:rPr>
          <w:rFonts w:hint="default" w:ascii="Times New Roman" w:hAnsi="Times New Roman" w:cs="Times New Roman"/>
          <w:b/>
          <w:i/>
          <w:iCs/>
          <w:sz w:val="20"/>
          <w:szCs w:val="20"/>
        </w:rPr>
        <w:t>) and Service Resilience Index (RI</w:t>
      </w:r>
      <w:r>
        <w:rPr>
          <w:rFonts w:hint="default" w:ascii="Times New Roman" w:hAnsi="Times New Roman" w:cs="Times New Roman"/>
          <w:b/>
          <w:i/>
          <w:iCs/>
          <w:sz w:val="20"/>
          <w:szCs w:val="20"/>
          <w:vertAlign w:val="subscript"/>
        </w:rPr>
        <w:t>service</w:t>
      </w:r>
      <w:r>
        <w:rPr>
          <w:rFonts w:hint="default" w:ascii="Times New Roman" w:hAnsi="Times New Roman" w:cs="Times New Roman"/>
          <w:b/>
          <w:i/>
          <w:iCs/>
          <w:sz w:val="20"/>
          <w:szCs w:val="20"/>
        </w:rPr>
        <w:t>) across risk threshold shifts (Δ H ∈ [-1.0, +1.0] m), demonstrating model robustness against threshold calibration uncertainty.</w:t>
      </w:r>
    </w:p>
    <w:p w14:paraId="3917D91E">
      <w:pPr>
        <w:spacing w:before="0" w:after="120" w:line="276" w:lineRule="auto"/>
        <w:rPr>
          <w:rFonts w:hint="default" w:ascii="Times New Roman" w:hAnsi="Times New Roman" w:cs="Times New Roman"/>
          <w:i/>
          <w:iCs/>
          <w:sz w:val="20"/>
          <w:szCs w:val="20"/>
        </w:rPr>
      </w:pPr>
      <w:r>
        <w:rPr>
          <w:rFonts w:hint="default" w:ascii="Times New Roman" w:hAnsi="Times New Roman" w:cs="Times New Roman"/>
          <w:b/>
          <w:i/>
          <w:iCs/>
          <w:sz w:val="20"/>
          <w:szCs w:val="20"/>
        </w:rPr>
        <w:t>Table 6: Multi-factor sensitivity analysis and operational application boundaries</w:t>
      </w:r>
    </w:p>
    <w:tbl>
      <w:tblPr>
        <w:tblStyle w:val="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6"/>
        <w:gridCol w:w="1138"/>
        <w:gridCol w:w="994"/>
        <w:gridCol w:w="908"/>
        <w:gridCol w:w="1137"/>
        <w:gridCol w:w="1200"/>
        <w:gridCol w:w="2053"/>
      </w:tblGrid>
      <w:tr w14:paraId="3D2D22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4" w:space="0"/>
              <w:tl2br w:val="nil"/>
            </w:tcBorders>
            <w:shd w:val="clear" w:color="auto" w:fill="FFFFFF"/>
            <w:tcMar>
              <w:top w:w="120" w:type="dxa"/>
              <w:left w:w="150" w:type="dxa"/>
              <w:bottom w:w="120" w:type="dxa"/>
              <w:right w:w="150" w:type="dxa"/>
            </w:tcMar>
          </w:tcPr>
          <w:p w14:paraId="151E4D73">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Sensitivity Fa</w:t>
            </w:r>
            <w:r>
              <w:rPr>
                <w:rFonts w:hint="default" w:ascii="Times New Roman" w:hAnsi="Times New Roman" w:cs="Times New Roman"/>
                <w:b/>
                <w:bCs/>
                <w:i/>
                <w:iCs/>
                <w:color w:val="000000"/>
                <w:sz w:val="20"/>
                <w:szCs w:val="20"/>
                <w:lang w:val="en-US" w:eastAsia="zh-CN"/>
              </w:rPr>
              <w:t>a</w:t>
            </w:r>
            <w:r>
              <w:rPr>
                <w:rFonts w:hint="default" w:ascii="Times New Roman" w:hAnsi="Times New Roman" w:cs="Times New Roman"/>
                <w:b/>
                <w:bCs/>
                <w:i/>
                <w:iCs/>
                <w:color w:val="000000"/>
                <w:sz w:val="20"/>
                <w:szCs w:val="20"/>
              </w:rPr>
              <w:t>ctor</w:t>
            </w:r>
          </w:p>
        </w:tc>
        <w:tc>
          <w:tcPr>
            <w:tcW w:w="0" w:type="auto"/>
            <w:tcBorders>
              <w:bottom w:val="single" w:color="000000" w:sz="4" w:space="0"/>
            </w:tcBorders>
            <w:shd w:val="clear" w:color="auto" w:fill="FFFFFF"/>
            <w:tcMar>
              <w:top w:w="120" w:type="dxa"/>
              <w:left w:w="150" w:type="dxa"/>
              <w:bottom w:w="120" w:type="dxa"/>
              <w:right w:w="150" w:type="dxa"/>
            </w:tcMar>
          </w:tcPr>
          <w:p w14:paraId="67CF7DF1">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Factor Level</w:t>
            </w:r>
          </w:p>
        </w:tc>
        <w:tc>
          <w:tcPr>
            <w:tcW w:w="0" w:type="auto"/>
            <w:tcBorders>
              <w:bottom w:val="single" w:color="000000" w:sz="4" w:space="0"/>
            </w:tcBorders>
            <w:shd w:val="clear" w:color="auto" w:fill="FFFFFF"/>
            <w:tcMar>
              <w:top w:w="120" w:type="dxa"/>
              <w:left w:w="150" w:type="dxa"/>
              <w:bottom w:w="120" w:type="dxa"/>
              <w:right w:w="150" w:type="dxa"/>
            </w:tcMar>
          </w:tcPr>
          <w:p w14:paraId="3DF2527B">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RI</w:t>
            </w:r>
            <w:r>
              <w:rPr>
                <w:rFonts w:hint="default" w:ascii="Times New Roman" w:hAnsi="Times New Roman" w:cs="Times New Roman"/>
                <w:b/>
                <w:bCs/>
                <w:i/>
                <w:iCs/>
                <w:color w:val="000000"/>
                <w:sz w:val="20"/>
                <w:szCs w:val="20"/>
                <w:vertAlign w:val="subscript"/>
              </w:rPr>
              <w:t>pressure</w:t>
            </w:r>
            <w:r>
              <w:rPr>
                <w:rFonts w:hint="default" w:ascii="Times New Roman" w:hAnsi="Times New Roman" w:cs="Times New Roman"/>
                <w:b/>
                <w:bCs/>
                <w:i/>
                <w:iCs/>
                <w:color w:val="000000"/>
                <w:sz w:val="20"/>
                <w:szCs w:val="20"/>
              </w:rPr>
              <w:t xml:space="preserve"> (No / With)</w:t>
            </w:r>
          </w:p>
        </w:tc>
        <w:tc>
          <w:tcPr>
            <w:tcW w:w="0" w:type="auto"/>
            <w:tcBorders>
              <w:bottom w:val="single" w:color="000000" w:sz="4" w:space="0"/>
            </w:tcBorders>
            <w:shd w:val="clear" w:color="auto" w:fill="FFFFFF"/>
            <w:tcMar>
              <w:top w:w="120" w:type="dxa"/>
              <w:left w:w="150" w:type="dxa"/>
              <w:bottom w:w="120" w:type="dxa"/>
              <w:right w:w="150" w:type="dxa"/>
            </w:tcMar>
          </w:tcPr>
          <w:p w14:paraId="03E56A07">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RI</w:t>
            </w:r>
            <w:r>
              <w:rPr>
                <w:rFonts w:hint="default" w:ascii="Times New Roman" w:hAnsi="Times New Roman" w:cs="Times New Roman"/>
                <w:b/>
                <w:bCs/>
                <w:i/>
                <w:iCs/>
                <w:color w:val="000000"/>
                <w:sz w:val="20"/>
                <w:szCs w:val="20"/>
                <w:vertAlign w:val="subscript"/>
              </w:rPr>
              <w:t>service</w:t>
            </w:r>
            <w:r>
              <w:rPr>
                <w:rFonts w:hint="default" w:ascii="Times New Roman" w:hAnsi="Times New Roman" w:cs="Times New Roman"/>
                <w:b/>
                <w:bCs/>
                <w:i/>
                <w:iCs/>
                <w:color w:val="000000"/>
                <w:sz w:val="20"/>
                <w:szCs w:val="20"/>
              </w:rPr>
              <w:t xml:space="preserve"> (No / With)</w:t>
            </w:r>
          </w:p>
        </w:tc>
        <w:tc>
          <w:tcPr>
            <w:tcW w:w="0" w:type="auto"/>
            <w:tcBorders>
              <w:bottom w:val="single" w:color="000000" w:sz="4" w:space="0"/>
            </w:tcBorders>
            <w:shd w:val="clear" w:color="auto" w:fill="FFFFFF"/>
            <w:tcMar>
              <w:top w:w="120" w:type="dxa"/>
              <w:left w:w="150" w:type="dxa"/>
              <w:bottom w:w="120" w:type="dxa"/>
              <w:right w:w="150" w:type="dxa"/>
            </w:tcMar>
          </w:tcPr>
          <w:p w14:paraId="0DFAF8F8">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Delivered Volume Gain (%)</w:t>
            </w:r>
          </w:p>
        </w:tc>
        <w:tc>
          <w:tcPr>
            <w:tcW w:w="0" w:type="auto"/>
            <w:tcBorders>
              <w:bottom w:val="single" w:color="000000" w:sz="4" w:space="0"/>
            </w:tcBorders>
            <w:shd w:val="clear" w:color="auto" w:fill="FFFFFF"/>
            <w:tcMar>
              <w:top w:w="120" w:type="dxa"/>
              <w:left w:w="150" w:type="dxa"/>
              <w:bottom w:w="120" w:type="dxa"/>
              <w:right w:w="150" w:type="dxa"/>
            </w:tcMar>
          </w:tcPr>
          <w:p w14:paraId="75D4EAE8">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Unmet Demand Reduction (%)</w:t>
            </w:r>
          </w:p>
        </w:tc>
        <w:tc>
          <w:tcPr>
            <w:tcW w:w="0" w:type="auto"/>
            <w:tcBorders>
              <w:bottom w:val="single" w:color="000000" w:sz="4" w:space="0"/>
            </w:tcBorders>
            <w:shd w:val="clear" w:color="auto" w:fill="FFFFFF"/>
            <w:tcMar>
              <w:top w:w="120" w:type="dxa"/>
              <w:left w:w="150" w:type="dxa"/>
              <w:bottom w:w="120" w:type="dxa"/>
              <w:right w:w="150" w:type="dxa"/>
            </w:tcMar>
          </w:tcPr>
          <w:p w14:paraId="52E2E1C2">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Operational Boundary &amp; Performance Regime</w:t>
            </w:r>
          </w:p>
        </w:tc>
      </w:tr>
      <w:tr w14:paraId="553726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tcBorders>
            <w:shd w:val="clear" w:color="auto" w:fill="FFFFFF"/>
            <w:tcMar>
              <w:top w:w="100" w:type="dxa"/>
              <w:left w:w="150" w:type="dxa"/>
              <w:bottom w:w="100" w:type="dxa"/>
              <w:right w:w="150" w:type="dxa"/>
            </w:tcMar>
          </w:tcPr>
          <w:p w14:paraId="0E724EF0">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Threshold Shift (Δ H)</w:t>
            </w:r>
          </w:p>
        </w:tc>
        <w:tc>
          <w:tcPr>
            <w:tcW w:w="0" w:type="auto"/>
            <w:tcBorders>
              <w:top w:val="single" w:color="000000" w:sz="4" w:space="0"/>
            </w:tcBorders>
            <w:shd w:val="clear" w:color="auto" w:fill="FFFFFF"/>
            <w:tcMar>
              <w:top w:w="100" w:type="dxa"/>
              <w:left w:w="150" w:type="dxa"/>
              <w:bottom w:w="100" w:type="dxa"/>
              <w:right w:w="150" w:type="dxa"/>
            </w:tcMar>
          </w:tcPr>
          <w:p w14:paraId="118B9DC6">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-1.0 m</w:t>
            </w:r>
          </w:p>
        </w:tc>
        <w:tc>
          <w:tcPr>
            <w:tcW w:w="0" w:type="auto"/>
            <w:tcBorders>
              <w:top w:val="single" w:color="000000" w:sz="4" w:space="0"/>
            </w:tcBorders>
            <w:shd w:val="clear" w:color="auto" w:fill="FFFFFF"/>
            <w:tcMar>
              <w:top w:w="100" w:type="dxa"/>
              <w:left w:w="150" w:type="dxa"/>
              <w:bottom w:w="100" w:type="dxa"/>
              <w:right w:w="150" w:type="dxa"/>
            </w:tcMar>
          </w:tcPr>
          <w:p w14:paraId="37D52D49">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0.22 / 0.81</w:t>
            </w:r>
          </w:p>
        </w:tc>
        <w:tc>
          <w:tcPr>
            <w:tcW w:w="0" w:type="auto"/>
            <w:tcBorders>
              <w:top w:val="single" w:color="000000" w:sz="4" w:space="0"/>
            </w:tcBorders>
            <w:shd w:val="clear" w:color="auto" w:fill="FFFFFF"/>
            <w:tcMar>
              <w:top w:w="100" w:type="dxa"/>
              <w:left w:w="150" w:type="dxa"/>
              <w:bottom w:w="100" w:type="dxa"/>
              <w:right w:w="150" w:type="dxa"/>
            </w:tcMar>
          </w:tcPr>
          <w:p w14:paraId="2132D953">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0.23 / 0.27</w:t>
            </w:r>
          </w:p>
        </w:tc>
        <w:tc>
          <w:tcPr>
            <w:tcW w:w="0" w:type="auto"/>
            <w:tcBorders>
              <w:top w:val="single" w:color="000000" w:sz="4" w:space="0"/>
            </w:tcBorders>
            <w:shd w:val="clear" w:color="auto" w:fill="FFFFFF"/>
            <w:tcMar>
              <w:top w:w="100" w:type="dxa"/>
              <w:left w:w="150" w:type="dxa"/>
              <w:bottom w:w="100" w:type="dxa"/>
              <w:right w:w="150" w:type="dxa"/>
            </w:tcMar>
          </w:tcPr>
          <w:p w14:paraId="10C4FAD4">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+27.1%</w:t>
            </w:r>
          </w:p>
        </w:tc>
        <w:tc>
          <w:tcPr>
            <w:tcW w:w="0" w:type="auto"/>
            <w:tcBorders>
              <w:top w:val="single" w:color="000000" w:sz="4" w:space="0"/>
            </w:tcBorders>
            <w:shd w:val="clear" w:color="auto" w:fill="FFFFFF"/>
            <w:tcMar>
              <w:top w:w="100" w:type="dxa"/>
              <w:left w:w="150" w:type="dxa"/>
              <w:bottom w:w="100" w:type="dxa"/>
              <w:right w:w="150" w:type="dxa"/>
            </w:tcMar>
          </w:tcPr>
          <w:p w14:paraId="2594ED57">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-5.8%</w:t>
            </w:r>
          </w:p>
        </w:tc>
        <w:tc>
          <w:tcPr>
            <w:tcW w:w="0" w:type="auto"/>
            <w:tcBorders>
              <w:top w:val="single" w:color="000000" w:sz="4" w:space="0"/>
            </w:tcBorders>
            <w:shd w:val="clear" w:color="auto" w:fill="FFFFFF"/>
            <w:tcMar>
              <w:top w:w="100" w:type="dxa"/>
              <w:left w:w="150" w:type="dxa"/>
              <w:bottom w:w="100" w:type="dxa"/>
              <w:right w:w="150" w:type="dxa"/>
            </w:tcMar>
          </w:tcPr>
          <w:p w14:paraId="3470DA03">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Robust Positive Gain: High tolerance to threshold calibration.</w:t>
            </w:r>
          </w:p>
        </w:tc>
      </w:tr>
      <w:tr w14:paraId="4D6F38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0BFF0D6">
            <w:pPr>
              <w:spacing w:before="40" w:after="40"/>
              <w:jc w:val="left"/>
              <w:rPr>
                <w:rFonts w:hint="default" w:ascii="Times New Roman" w:hAnsi="Times New Roman" w:cs="Times New Roman"/>
                <w:b/>
                <w:bCs/>
                <w:i/>
                <w:iCs/>
                <w:color w:val="000000"/>
                <w:sz w:val="20"/>
                <w:szCs w:val="20"/>
              </w:rPr>
            </w:pPr>
          </w:p>
        </w:tc>
        <w:tc>
          <w:tcPr>
            <w:tcW w:w="0" w:type="auto"/>
            <w:shd w:val="clear" w:color="auto" w:fill="FFFFFF"/>
            <w:tcMar>
              <w:top w:w="100" w:type="dxa"/>
              <w:left w:w="150" w:type="dxa"/>
              <w:bottom w:w="100" w:type="dxa"/>
              <w:right w:w="150" w:type="dxa"/>
            </w:tcMar>
          </w:tcPr>
          <w:p w14:paraId="672251FA">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0.0 m (Baseline)</w:t>
            </w:r>
          </w:p>
        </w:tc>
        <w:tc>
          <w:tcPr>
            <w:tcW w:w="0" w:type="auto"/>
            <w:shd w:val="clear" w:color="auto" w:fill="FFFFFF"/>
            <w:tcMar>
              <w:top w:w="100" w:type="dxa"/>
              <w:left w:w="150" w:type="dxa"/>
              <w:bottom w:w="100" w:type="dxa"/>
              <w:right w:w="150" w:type="dxa"/>
            </w:tcMar>
          </w:tcPr>
          <w:p w14:paraId="37168573">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0.22 / 0.84</w:t>
            </w:r>
          </w:p>
        </w:tc>
        <w:tc>
          <w:tcPr>
            <w:tcW w:w="0" w:type="auto"/>
            <w:shd w:val="clear" w:color="auto" w:fill="FFFFFF"/>
            <w:tcMar>
              <w:top w:w="100" w:type="dxa"/>
              <w:left w:w="150" w:type="dxa"/>
              <w:bottom w:w="100" w:type="dxa"/>
              <w:right w:w="150" w:type="dxa"/>
            </w:tcMar>
          </w:tcPr>
          <w:p w14:paraId="07C6ADFD">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0.23 / 0.29</w:t>
            </w:r>
          </w:p>
        </w:tc>
        <w:tc>
          <w:tcPr>
            <w:tcW w:w="0" w:type="auto"/>
            <w:shd w:val="clear" w:color="auto" w:fill="FFFFFF"/>
            <w:tcMar>
              <w:top w:w="100" w:type="dxa"/>
              <w:left w:w="150" w:type="dxa"/>
              <w:bottom w:w="100" w:type="dxa"/>
              <w:right w:w="150" w:type="dxa"/>
            </w:tcMar>
          </w:tcPr>
          <w:p w14:paraId="0888CE00">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+36.2%</w:t>
            </w:r>
          </w:p>
        </w:tc>
        <w:tc>
          <w:tcPr>
            <w:tcW w:w="0" w:type="auto"/>
            <w:shd w:val="clear" w:color="auto" w:fill="FFFFFF"/>
            <w:tcMar>
              <w:top w:w="100" w:type="dxa"/>
              <w:left w:w="150" w:type="dxa"/>
              <w:bottom w:w="100" w:type="dxa"/>
              <w:right w:w="150" w:type="dxa"/>
            </w:tcMar>
          </w:tcPr>
          <w:p w14:paraId="39F781D4">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-8.8%</w:t>
            </w:r>
          </w:p>
        </w:tc>
        <w:tc>
          <w:tcPr>
            <w:tcW w:w="0" w:type="auto"/>
            <w:shd w:val="clear" w:color="auto" w:fill="FFFFFF"/>
            <w:tcMar>
              <w:top w:w="100" w:type="dxa"/>
              <w:left w:w="150" w:type="dxa"/>
              <w:bottom w:w="100" w:type="dxa"/>
              <w:right w:w="150" w:type="dxa"/>
            </w:tcMar>
          </w:tcPr>
          <w:p w14:paraId="12A09BF0">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Optimal Baseline: Balanced pressure and service gains.</w:t>
            </w:r>
          </w:p>
        </w:tc>
      </w:tr>
      <w:tr w14:paraId="7726CA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181F5971">
            <w:pPr>
              <w:spacing w:before="40" w:after="40"/>
              <w:jc w:val="left"/>
              <w:rPr>
                <w:rFonts w:hint="default" w:ascii="Times New Roman" w:hAnsi="Times New Roman" w:cs="Times New Roman"/>
                <w:b/>
                <w:bCs/>
                <w:i/>
                <w:iCs/>
                <w:color w:val="000000"/>
                <w:sz w:val="20"/>
                <w:szCs w:val="20"/>
              </w:rPr>
            </w:pPr>
          </w:p>
        </w:tc>
        <w:tc>
          <w:tcPr>
            <w:tcW w:w="0" w:type="auto"/>
            <w:shd w:val="clear" w:color="auto" w:fill="FFFFFF"/>
            <w:tcMar>
              <w:top w:w="100" w:type="dxa"/>
              <w:left w:w="150" w:type="dxa"/>
              <w:bottom w:w="100" w:type="dxa"/>
              <w:right w:w="150" w:type="dxa"/>
            </w:tcMar>
          </w:tcPr>
          <w:p w14:paraId="3101B08F">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+1.0 m</w:t>
            </w:r>
          </w:p>
        </w:tc>
        <w:tc>
          <w:tcPr>
            <w:tcW w:w="0" w:type="auto"/>
            <w:shd w:val="clear" w:color="auto" w:fill="FFFFFF"/>
            <w:tcMar>
              <w:top w:w="100" w:type="dxa"/>
              <w:left w:w="150" w:type="dxa"/>
              <w:bottom w:w="100" w:type="dxa"/>
              <w:right w:w="150" w:type="dxa"/>
            </w:tcMar>
          </w:tcPr>
          <w:p w14:paraId="7E225D69">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0.22 / 0.87</w:t>
            </w:r>
          </w:p>
        </w:tc>
        <w:tc>
          <w:tcPr>
            <w:tcW w:w="0" w:type="auto"/>
            <w:shd w:val="clear" w:color="auto" w:fill="FFFFFF"/>
            <w:tcMar>
              <w:top w:w="100" w:type="dxa"/>
              <w:left w:w="150" w:type="dxa"/>
              <w:bottom w:w="100" w:type="dxa"/>
              <w:right w:w="150" w:type="dxa"/>
            </w:tcMar>
          </w:tcPr>
          <w:p w14:paraId="1ABF738C">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0.23 / 0.30</w:t>
            </w:r>
          </w:p>
        </w:tc>
        <w:tc>
          <w:tcPr>
            <w:tcW w:w="0" w:type="auto"/>
            <w:shd w:val="clear" w:color="auto" w:fill="FFFFFF"/>
            <w:tcMar>
              <w:top w:w="100" w:type="dxa"/>
              <w:left w:w="150" w:type="dxa"/>
              <w:bottom w:w="100" w:type="dxa"/>
              <w:right w:w="150" w:type="dxa"/>
            </w:tcMar>
          </w:tcPr>
          <w:p w14:paraId="0463FB2A">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+45.3%</w:t>
            </w:r>
          </w:p>
        </w:tc>
        <w:tc>
          <w:tcPr>
            <w:tcW w:w="0" w:type="auto"/>
            <w:shd w:val="clear" w:color="auto" w:fill="FFFFFF"/>
            <w:tcMar>
              <w:top w:w="100" w:type="dxa"/>
              <w:left w:w="150" w:type="dxa"/>
              <w:bottom w:w="100" w:type="dxa"/>
              <w:right w:w="150" w:type="dxa"/>
            </w:tcMar>
          </w:tcPr>
          <w:p w14:paraId="5A82F8A1">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-9.9%</w:t>
            </w:r>
          </w:p>
        </w:tc>
        <w:tc>
          <w:tcPr>
            <w:tcW w:w="0" w:type="auto"/>
            <w:shd w:val="clear" w:color="auto" w:fill="FFFFFF"/>
            <w:tcMar>
              <w:top w:w="100" w:type="dxa"/>
              <w:left w:w="150" w:type="dxa"/>
              <w:bottom w:w="100" w:type="dxa"/>
              <w:right w:w="150" w:type="dxa"/>
            </w:tcMar>
          </w:tcPr>
          <w:p w14:paraId="4CBDA579">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Conservative Trigger: Earlier curtailment preserves more storage.</w:t>
            </w:r>
          </w:p>
        </w:tc>
      </w:tr>
      <w:tr w14:paraId="0A3349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639D7E99">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Tank Diameter (D</w:t>
            </w:r>
            <w:r>
              <w:rPr>
                <w:rFonts w:hint="default" w:ascii="Times New Roman" w:hAnsi="Times New Roman" w:cs="Times New Roman"/>
                <w:b/>
                <w:bCs/>
                <w:i/>
                <w:iCs/>
                <w:color w:val="000000"/>
                <w:sz w:val="20"/>
                <w:szCs w:val="20"/>
                <w:vertAlign w:val="subscript"/>
              </w:rPr>
              <w:t>tank</w:t>
            </w:r>
            <w:r>
              <w:rPr>
                <w:rFonts w:hint="default" w:ascii="Times New Roman" w:hAnsi="Times New Roman" w:cs="Times New Roman"/>
                <w:b/>
                <w:bCs/>
                <w:i/>
                <w:iCs/>
                <w:color w:val="000000"/>
                <w:sz w:val="20"/>
                <w:szCs w:val="20"/>
              </w:rPr>
              <w:t>)</w:t>
            </w:r>
          </w:p>
        </w:tc>
        <w:tc>
          <w:tcPr>
            <w:tcW w:w="0" w:type="auto"/>
            <w:shd w:val="clear" w:color="auto" w:fill="FFFFFF"/>
            <w:tcMar>
              <w:top w:w="100" w:type="dxa"/>
              <w:left w:w="150" w:type="dxa"/>
              <w:bottom w:w="100" w:type="dxa"/>
              <w:right w:w="150" w:type="dxa"/>
            </w:tcMar>
          </w:tcPr>
          <w:p w14:paraId="4258C1C7">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0.6×</w:t>
            </w:r>
          </w:p>
        </w:tc>
        <w:tc>
          <w:tcPr>
            <w:tcW w:w="0" w:type="auto"/>
            <w:shd w:val="clear" w:color="auto" w:fill="FFFFFF"/>
            <w:tcMar>
              <w:top w:w="100" w:type="dxa"/>
              <w:left w:w="150" w:type="dxa"/>
              <w:bottom w:w="100" w:type="dxa"/>
              <w:right w:w="150" w:type="dxa"/>
            </w:tcMar>
          </w:tcPr>
          <w:p w14:paraId="22DC7A51">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0.09 / 0.77</w:t>
            </w:r>
          </w:p>
        </w:tc>
        <w:tc>
          <w:tcPr>
            <w:tcW w:w="0" w:type="auto"/>
            <w:shd w:val="clear" w:color="auto" w:fill="FFFFFF"/>
            <w:tcMar>
              <w:top w:w="100" w:type="dxa"/>
              <w:left w:w="150" w:type="dxa"/>
              <w:bottom w:w="100" w:type="dxa"/>
              <w:right w:w="150" w:type="dxa"/>
            </w:tcMar>
          </w:tcPr>
          <w:p w14:paraId="47BA0FBA">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0.09 / 0.22</w:t>
            </w:r>
          </w:p>
        </w:tc>
        <w:tc>
          <w:tcPr>
            <w:tcW w:w="0" w:type="auto"/>
            <w:shd w:val="clear" w:color="auto" w:fill="FFFFFF"/>
            <w:tcMar>
              <w:top w:w="100" w:type="dxa"/>
              <w:left w:w="150" w:type="dxa"/>
              <w:bottom w:w="100" w:type="dxa"/>
              <w:right w:w="150" w:type="dxa"/>
            </w:tcMar>
          </w:tcPr>
          <w:p w14:paraId="4A10D71C">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+208.2%</w:t>
            </w:r>
          </w:p>
        </w:tc>
        <w:tc>
          <w:tcPr>
            <w:tcW w:w="0" w:type="auto"/>
            <w:shd w:val="clear" w:color="auto" w:fill="FFFFFF"/>
            <w:tcMar>
              <w:top w:w="100" w:type="dxa"/>
              <w:left w:w="150" w:type="dxa"/>
              <w:bottom w:w="100" w:type="dxa"/>
              <w:right w:w="150" w:type="dxa"/>
            </w:tcMar>
          </w:tcPr>
          <w:p w14:paraId="3821ECD3">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-18.7%</w:t>
            </w:r>
          </w:p>
        </w:tc>
        <w:tc>
          <w:tcPr>
            <w:tcW w:w="0" w:type="auto"/>
            <w:shd w:val="clear" w:color="auto" w:fill="FFFFFF"/>
            <w:tcMar>
              <w:top w:w="100" w:type="dxa"/>
              <w:left w:w="150" w:type="dxa"/>
              <w:bottom w:w="100" w:type="dxa"/>
              <w:right w:w="150" w:type="dxa"/>
            </w:tcMar>
          </w:tcPr>
          <w:p w14:paraId="50CB7F25">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Critical EWM Value: Essential for storage-constrained networks.</w:t>
            </w:r>
          </w:p>
        </w:tc>
      </w:tr>
      <w:tr w14:paraId="514FD5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044DDA67">
            <w:pPr>
              <w:spacing w:before="40" w:after="40"/>
              <w:jc w:val="left"/>
              <w:rPr>
                <w:rFonts w:hint="default" w:ascii="Times New Roman" w:hAnsi="Times New Roman" w:cs="Times New Roman"/>
                <w:b/>
                <w:bCs/>
                <w:i/>
                <w:iCs/>
                <w:color w:val="000000"/>
                <w:sz w:val="20"/>
                <w:szCs w:val="20"/>
              </w:rPr>
            </w:pPr>
          </w:p>
        </w:tc>
        <w:tc>
          <w:tcPr>
            <w:tcW w:w="0" w:type="auto"/>
            <w:shd w:val="clear" w:color="auto" w:fill="FFFFFF"/>
            <w:tcMar>
              <w:top w:w="100" w:type="dxa"/>
              <w:left w:w="150" w:type="dxa"/>
              <w:bottom w:w="100" w:type="dxa"/>
              <w:right w:w="150" w:type="dxa"/>
            </w:tcMar>
          </w:tcPr>
          <w:p w14:paraId="03AE85B7">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1.0× (Baseline)</w:t>
            </w:r>
          </w:p>
        </w:tc>
        <w:tc>
          <w:tcPr>
            <w:tcW w:w="0" w:type="auto"/>
            <w:shd w:val="clear" w:color="auto" w:fill="FFFFFF"/>
            <w:tcMar>
              <w:top w:w="100" w:type="dxa"/>
              <w:left w:w="150" w:type="dxa"/>
              <w:bottom w:w="100" w:type="dxa"/>
              <w:right w:w="150" w:type="dxa"/>
            </w:tcMar>
          </w:tcPr>
          <w:p w14:paraId="5A328237">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0.22 / 0.84</w:t>
            </w:r>
          </w:p>
        </w:tc>
        <w:tc>
          <w:tcPr>
            <w:tcW w:w="0" w:type="auto"/>
            <w:shd w:val="clear" w:color="auto" w:fill="FFFFFF"/>
            <w:tcMar>
              <w:top w:w="100" w:type="dxa"/>
              <w:left w:w="150" w:type="dxa"/>
              <w:bottom w:w="100" w:type="dxa"/>
              <w:right w:w="150" w:type="dxa"/>
            </w:tcMar>
          </w:tcPr>
          <w:p w14:paraId="475ADA00">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0.23 / 0.29</w:t>
            </w:r>
          </w:p>
        </w:tc>
        <w:tc>
          <w:tcPr>
            <w:tcW w:w="0" w:type="auto"/>
            <w:shd w:val="clear" w:color="auto" w:fill="FFFFFF"/>
            <w:tcMar>
              <w:top w:w="100" w:type="dxa"/>
              <w:left w:w="150" w:type="dxa"/>
              <w:bottom w:w="100" w:type="dxa"/>
              <w:right w:w="150" w:type="dxa"/>
            </w:tcMar>
          </w:tcPr>
          <w:p w14:paraId="4946CC1E">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+36.2%</w:t>
            </w:r>
          </w:p>
        </w:tc>
        <w:tc>
          <w:tcPr>
            <w:tcW w:w="0" w:type="auto"/>
            <w:shd w:val="clear" w:color="auto" w:fill="FFFFFF"/>
            <w:tcMar>
              <w:top w:w="100" w:type="dxa"/>
              <w:left w:w="150" w:type="dxa"/>
              <w:bottom w:w="100" w:type="dxa"/>
              <w:right w:w="150" w:type="dxa"/>
            </w:tcMar>
          </w:tcPr>
          <w:p w14:paraId="20812692">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-8.8%</w:t>
            </w:r>
          </w:p>
        </w:tc>
        <w:tc>
          <w:tcPr>
            <w:tcW w:w="0" w:type="auto"/>
            <w:shd w:val="clear" w:color="auto" w:fill="FFFFFF"/>
            <w:tcMar>
              <w:top w:w="100" w:type="dxa"/>
              <w:left w:w="150" w:type="dxa"/>
              <w:bottom w:w="100" w:type="dxa"/>
              <w:right w:w="150" w:type="dxa"/>
            </w:tcMar>
          </w:tcPr>
          <w:p w14:paraId="43147934">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Moderate EWM Value: Substantial service continuity gain.</w:t>
            </w:r>
          </w:p>
        </w:tc>
      </w:tr>
      <w:tr w14:paraId="610A6C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5D705301">
            <w:pPr>
              <w:spacing w:before="40" w:after="40"/>
              <w:jc w:val="left"/>
              <w:rPr>
                <w:rFonts w:hint="default" w:ascii="Times New Roman" w:hAnsi="Times New Roman" w:cs="Times New Roman"/>
                <w:b/>
                <w:bCs/>
                <w:i/>
                <w:iCs/>
                <w:color w:val="000000"/>
                <w:sz w:val="20"/>
                <w:szCs w:val="20"/>
              </w:rPr>
            </w:pPr>
          </w:p>
        </w:tc>
        <w:tc>
          <w:tcPr>
            <w:tcW w:w="0" w:type="auto"/>
            <w:shd w:val="clear" w:color="auto" w:fill="FFFFFF"/>
            <w:tcMar>
              <w:top w:w="100" w:type="dxa"/>
              <w:left w:w="150" w:type="dxa"/>
              <w:bottom w:w="100" w:type="dxa"/>
              <w:right w:w="150" w:type="dxa"/>
            </w:tcMar>
          </w:tcPr>
          <w:p w14:paraId="63FA86D4">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1.4×</w:t>
            </w:r>
          </w:p>
        </w:tc>
        <w:tc>
          <w:tcPr>
            <w:tcW w:w="0" w:type="auto"/>
            <w:shd w:val="clear" w:color="auto" w:fill="FFFFFF"/>
            <w:tcMar>
              <w:top w:w="100" w:type="dxa"/>
              <w:left w:w="150" w:type="dxa"/>
              <w:bottom w:w="100" w:type="dxa"/>
              <w:right w:w="150" w:type="dxa"/>
            </w:tcMar>
          </w:tcPr>
          <w:p w14:paraId="6BEDAF52">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0.51 / 0.90</w:t>
            </w:r>
          </w:p>
        </w:tc>
        <w:tc>
          <w:tcPr>
            <w:tcW w:w="0" w:type="auto"/>
            <w:shd w:val="clear" w:color="auto" w:fill="FFFFFF"/>
            <w:tcMar>
              <w:top w:w="100" w:type="dxa"/>
              <w:left w:w="150" w:type="dxa"/>
              <w:bottom w:w="100" w:type="dxa"/>
              <w:right w:w="150" w:type="dxa"/>
            </w:tcMar>
          </w:tcPr>
          <w:p w14:paraId="4178CF56">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0.51 / 0.53</w:t>
            </w:r>
          </w:p>
        </w:tc>
        <w:tc>
          <w:tcPr>
            <w:tcW w:w="0" w:type="auto"/>
            <w:shd w:val="clear" w:color="auto" w:fill="FFFFFF"/>
            <w:tcMar>
              <w:top w:w="100" w:type="dxa"/>
              <w:left w:w="150" w:type="dxa"/>
              <w:bottom w:w="100" w:type="dxa"/>
              <w:right w:w="150" w:type="dxa"/>
            </w:tcMar>
          </w:tcPr>
          <w:p w14:paraId="76F13C32">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+0.09%</w:t>
            </w:r>
          </w:p>
        </w:tc>
        <w:tc>
          <w:tcPr>
            <w:tcW w:w="0" w:type="auto"/>
            <w:shd w:val="clear" w:color="auto" w:fill="FFFFFF"/>
            <w:tcMar>
              <w:top w:w="100" w:type="dxa"/>
              <w:left w:w="150" w:type="dxa"/>
              <w:bottom w:w="100" w:type="dxa"/>
              <w:right w:w="150" w:type="dxa"/>
            </w:tcMar>
          </w:tcPr>
          <w:p w14:paraId="79FFCBD8">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-0.08%</w:t>
            </w:r>
          </w:p>
        </w:tc>
        <w:tc>
          <w:tcPr>
            <w:tcW w:w="0" w:type="auto"/>
            <w:shd w:val="clear" w:color="auto" w:fill="FFFFFF"/>
            <w:tcMar>
              <w:top w:w="100" w:type="dxa"/>
              <w:left w:w="150" w:type="dxa"/>
              <w:bottom w:w="100" w:type="dxa"/>
              <w:right w:w="150" w:type="dxa"/>
            </w:tcMar>
          </w:tcPr>
          <w:p w14:paraId="7FA428AA">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Low EWM Value: Passive physical storage dominates.</w:t>
            </w:r>
          </w:p>
        </w:tc>
      </w:tr>
      <w:tr w14:paraId="41D03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451D2818">
            <w:pPr>
              <w:spacing w:before="40" w:after="40"/>
              <w:jc w:val="left"/>
              <w:rPr>
                <w:rFonts w:hint="default" w:ascii="Times New Roman" w:hAnsi="Times New Roman" w:cs="Times New Roman"/>
                <w:b/>
                <w:bCs/>
                <w:i/>
                <w:iCs/>
                <w:color w:val="000000"/>
                <w:sz w:val="20"/>
                <w:szCs w:val="20"/>
              </w:rPr>
            </w:pPr>
            <w:r>
              <w:rPr>
                <w:rFonts w:hint="default" w:ascii="Times New Roman" w:hAnsi="Times New Roman" w:cs="Times New Roman"/>
                <w:b/>
                <w:bCs/>
                <w:i/>
                <w:iCs/>
                <w:color w:val="000000"/>
                <w:sz w:val="20"/>
                <w:szCs w:val="20"/>
              </w:rPr>
              <w:t>Fault Duration (T</w:t>
            </w:r>
            <w:r>
              <w:rPr>
                <w:rFonts w:hint="default" w:ascii="Times New Roman" w:hAnsi="Times New Roman" w:cs="Times New Roman"/>
                <w:b/>
                <w:bCs/>
                <w:i/>
                <w:iCs/>
                <w:color w:val="000000"/>
                <w:sz w:val="20"/>
                <w:szCs w:val="20"/>
                <w:vertAlign w:val="subscript"/>
              </w:rPr>
              <w:t>fault</w:t>
            </w:r>
            <w:r>
              <w:rPr>
                <w:rFonts w:hint="default" w:ascii="Times New Roman" w:hAnsi="Times New Roman" w:cs="Times New Roman"/>
                <w:b/>
                <w:bCs/>
                <w:i/>
                <w:iCs/>
                <w:color w:val="000000"/>
                <w:sz w:val="20"/>
                <w:szCs w:val="20"/>
              </w:rPr>
              <w:t>)</w:t>
            </w:r>
          </w:p>
        </w:tc>
        <w:tc>
          <w:tcPr>
            <w:tcW w:w="0" w:type="auto"/>
            <w:shd w:val="clear" w:color="auto" w:fill="FFFFFF"/>
            <w:tcMar>
              <w:top w:w="100" w:type="dxa"/>
              <w:left w:w="150" w:type="dxa"/>
              <w:bottom w:w="100" w:type="dxa"/>
              <w:right w:w="150" w:type="dxa"/>
            </w:tcMar>
          </w:tcPr>
          <w:p w14:paraId="0D5A7E82">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12 h</w:t>
            </w:r>
          </w:p>
        </w:tc>
        <w:tc>
          <w:tcPr>
            <w:tcW w:w="0" w:type="auto"/>
            <w:shd w:val="clear" w:color="auto" w:fill="FFFFFF"/>
            <w:tcMar>
              <w:top w:w="100" w:type="dxa"/>
              <w:left w:w="150" w:type="dxa"/>
              <w:bottom w:w="100" w:type="dxa"/>
              <w:right w:w="150" w:type="dxa"/>
            </w:tcMar>
          </w:tcPr>
          <w:p w14:paraId="1819913D">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0.43 / 0.89</w:t>
            </w:r>
          </w:p>
        </w:tc>
        <w:tc>
          <w:tcPr>
            <w:tcW w:w="0" w:type="auto"/>
            <w:shd w:val="clear" w:color="auto" w:fill="FFFFFF"/>
            <w:tcMar>
              <w:top w:w="100" w:type="dxa"/>
              <w:left w:w="150" w:type="dxa"/>
              <w:bottom w:w="100" w:type="dxa"/>
              <w:right w:w="150" w:type="dxa"/>
            </w:tcMar>
          </w:tcPr>
          <w:p w14:paraId="43FE5FC7">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0.46 / 0.43</w:t>
            </w:r>
          </w:p>
        </w:tc>
        <w:tc>
          <w:tcPr>
            <w:tcW w:w="0" w:type="auto"/>
            <w:shd w:val="clear" w:color="auto" w:fill="FFFFFF"/>
            <w:tcMar>
              <w:top w:w="100" w:type="dxa"/>
              <w:left w:w="150" w:type="dxa"/>
              <w:bottom w:w="100" w:type="dxa"/>
              <w:right w:w="150" w:type="dxa"/>
            </w:tcMar>
          </w:tcPr>
          <w:p w14:paraId="0AEF0E4B">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-4.7%</w:t>
            </w:r>
          </w:p>
        </w:tc>
        <w:tc>
          <w:tcPr>
            <w:tcW w:w="0" w:type="auto"/>
            <w:shd w:val="clear" w:color="auto" w:fill="FFFFFF"/>
            <w:tcMar>
              <w:top w:w="100" w:type="dxa"/>
              <w:left w:w="150" w:type="dxa"/>
              <w:bottom w:w="100" w:type="dxa"/>
              <w:right w:w="150" w:type="dxa"/>
            </w:tcMar>
          </w:tcPr>
          <w:p w14:paraId="6B11DC51">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+1.4%</w:t>
            </w:r>
          </w:p>
        </w:tc>
        <w:tc>
          <w:tcPr>
            <w:tcW w:w="0" w:type="auto"/>
            <w:shd w:val="clear" w:color="auto" w:fill="FFFFFF"/>
            <w:tcMar>
              <w:top w:w="100" w:type="dxa"/>
              <w:left w:w="150" w:type="dxa"/>
              <w:bottom w:w="100" w:type="dxa"/>
              <w:right w:w="150" w:type="dxa"/>
            </w:tcMar>
          </w:tcPr>
          <w:p w14:paraId="467E72BE">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Over-Curtailment Boundary: Unnecessary for minor outages.</w:t>
            </w:r>
          </w:p>
        </w:tc>
      </w:tr>
      <w:tr w14:paraId="3E2E62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254E9EA9">
            <w:pPr>
              <w:spacing w:before="40" w:after="40"/>
              <w:jc w:val="left"/>
              <w:rPr>
                <w:rFonts w:hint="default" w:ascii="Times New Roman" w:hAnsi="Times New Roman" w:cs="Times New Roman"/>
                <w:b/>
                <w:bCs/>
                <w:i/>
                <w:iCs/>
                <w:color w:val="000000"/>
                <w:sz w:val="20"/>
                <w:szCs w:val="20"/>
              </w:rPr>
            </w:pPr>
          </w:p>
        </w:tc>
        <w:tc>
          <w:tcPr>
            <w:tcW w:w="0" w:type="auto"/>
            <w:shd w:val="clear" w:color="auto" w:fill="FFFFFF"/>
            <w:tcMar>
              <w:top w:w="100" w:type="dxa"/>
              <w:left w:w="150" w:type="dxa"/>
              <w:bottom w:w="100" w:type="dxa"/>
              <w:right w:w="150" w:type="dxa"/>
            </w:tcMar>
          </w:tcPr>
          <w:p w14:paraId="6708009F">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24 h (Baseline)</w:t>
            </w:r>
          </w:p>
        </w:tc>
        <w:tc>
          <w:tcPr>
            <w:tcW w:w="0" w:type="auto"/>
            <w:shd w:val="clear" w:color="auto" w:fill="FFFFFF"/>
            <w:tcMar>
              <w:top w:w="100" w:type="dxa"/>
              <w:left w:w="150" w:type="dxa"/>
              <w:bottom w:w="100" w:type="dxa"/>
              <w:right w:w="150" w:type="dxa"/>
            </w:tcMar>
          </w:tcPr>
          <w:p w14:paraId="5C3F7591">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0.22 / 0.84</w:t>
            </w:r>
          </w:p>
        </w:tc>
        <w:tc>
          <w:tcPr>
            <w:tcW w:w="0" w:type="auto"/>
            <w:shd w:val="clear" w:color="auto" w:fill="FFFFFF"/>
            <w:tcMar>
              <w:top w:w="100" w:type="dxa"/>
              <w:left w:w="150" w:type="dxa"/>
              <w:bottom w:w="100" w:type="dxa"/>
              <w:right w:w="150" w:type="dxa"/>
            </w:tcMar>
          </w:tcPr>
          <w:p w14:paraId="68150D83">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0.23 / 0.29</w:t>
            </w:r>
          </w:p>
        </w:tc>
        <w:tc>
          <w:tcPr>
            <w:tcW w:w="0" w:type="auto"/>
            <w:shd w:val="clear" w:color="auto" w:fill="FFFFFF"/>
            <w:tcMar>
              <w:top w:w="100" w:type="dxa"/>
              <w:left w:w="150" w:type="dxa"/>
              <w:bottom w:w="100" w:type="dxa"/>
              <w:right w:w="150" w:type="dxa"/>
            </w:tcMar>
          </w:tcPr>
          <w:p w14:paraId="6373CD80">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+36.2%</w:t>
            </w:r>
          </w:p>
        </w:tc>
        <w:tc>
          <w:tcPr>
            <w:tcW w:w="0" w:type="auto"/>
            <w:shd w:val="clear" w:color="auto" w:fill="FFFFFF"/>
            <w:tcMar>
              <w:top w:w="100" w:type="dxa"/>
              <w:left w:w="150" w:type="dxa"/>
              <w:bottom w:w="100" w:type="dxa"/>
              <w:right w:w="150" w:type="dxa"/>
            </w:tcMar>
          </w:tcPr>
          <w:p w14:paraId="024A1CD9">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-8.8%</w:t>
            </w:r>
          </w:p>
        </w:tc>
        <w:tc>
          <w:tcPr>
            <w:tcW w:w="0" w:type="auto"/>
            <w:shd w:val="clear" w:color="auto" w:fill="FFFFFF"/>
            <w:tcMar>
              <w:top w:w="100" w:type="dxa"/>
              <w:left w:w="150" w:type="dxa"/>
              <w:bottom w:w="100" w:type="dxa"/>
              <w:right w:w="150" w:type="dxa"/>
            </w:tcMar>
          </w:tcPr>
          <w:p w14:paraId="1F0FCE34">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High EWM Value: Prevents complete zero-supply collapse.</w:t>
            </w:r>
          </w:p>
        </w:tc>
      </w:tr>
      <w:tr w14:paraId="15E6E0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tcMar>
              <w:top w:w="100" w:type="dxa"/>
              <w:left w:w="150" w:type="dxa"/>
              <w:bottom w:w="100" w:type="dxa"/>
              <w:right w:w="150" w:type="dxa"/>
            </w:tcMar>
          </w:tcPr>
          <w:p w14:paraId="1A7956AA">
            <w:pPr>
              <w:spacing w:before="40" w:after="40"/>
              <w:jc w:val="left"/>
              <w:rPr>
                <w:rFonts w:hint="default" w:ascii="Times New Roman" w:hAnsi="Times New Roman" w:cs="Times New Roman"/>
                <w:b/>
                <w:bCs/>
                <w:i/>
                <w:iCs/>
                <w:color w:val="000000"/>
                <w:sz w:val="20"/>
                <w:szCs w:val="20"/>
              </w:rPr>
            </w:pPr>
          </w:p>
        </w:tc>
        <w:tc>
          <w:tcPr>
            <w:tcW w:w="0" w:type="auto"/>
            <w:shd w:val="clear" w:color="auto" w:fill="FFFFFF"/>
            <w:tcMar>
              <w:top w:w="100" w:type="dxa"/>
              <w:left w:w="150" w:type="dxa"/>
              <w:bottom w:w="100" w:type="dxa"/>
              <w:right w:w="150" w:type="dxa"/>
            </w:tcMar>
          </w:tcPr>
          <w:p w14:paraId="365D8897">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48 h</w:t>
            </w:r>
          </w:p>
        </w:tc>
        <w:tc>
          <w:tcPr>
            <w:tcW w:w="0" w:type="auto"/>
            <w:shd w:val="clear" w:color="auto" w:fill="FFFFFF"/>
            <w:tcMar>
              <w:top w:w="100" w:type="dxa"/>
              <w:left w:w="150" w:type="dxa"/>
              <w:bottom w:w="100" w:type="dxa"/>
              <w:right w:w="150" w:type="dxa"/>
            </w:tcMar>
          </w:tcPr>
          <w:p w14:paraId="331C2EE2">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0.11 / 0.79</w:t>
            </w:r>
          </w:p>
        </w:tc>
        <w:tc>
          <w:tcPr>
            <w:tcW w:w="0" w:type="auto"/>
            <w:shd w:val="clear" w:color="auto" w:fill="FFFFFF"/>
            <w:tcMar>
              <w:top w:w="100" w:type="dxa"/>
              <w:left w:w="150" w:type="dxa"/>
              <w:bottom w:w="100" w:type="dxa"/>
              <w:right w:w="150" w:type="dxa"/>
            </w:tcMar>
          </w:tcPr>
          <w:p w14:paraId="2295FBA2">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0.11 / 0.22</w:t>
            </w:r>
          </w:p>
        </w:tc>
        <w:tc>
          <w:tcPr>
            <w:tcW w:w="0" w:type="auto"/>
            <w:shd w:val="clear" w:color="auto" w:fill="FFFFFF"/>
            <w:tcMar>
              <w:top w:w="100" w:type="dxa"/>
              <w:left w:w="150" w:type="dxa"/>
              <w:bottom w:w="100" w:type="dxa"/>
              <w:right w:w="150" w:type="dxa"/>
            </w:tcMar>
          </w:tcPr>
          <w:p w14:paraId="775250F2">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+117.9%</w:t>
            </w:r>
          </w:p>
        </w:tc>
        <w:tc>
          <w:tcPr>
            <w:tcW w:w="0" w:type="auto"/>
            <w:shd w:val="clear" w:color="auto" w:fill="FFFFFF"/>
            <w:tcMar>
              <w:top w:w="100" w:type="dxa"/>
              <w:left w:w="150" w:type="dxa"/>
              <w:bottom w:w="100" w:type="dxa"/>
              <w:right w:w="150" w:type="dxa"/>
            </w:tcMar>
          </w:tcPr>
          <w:p w14:paraId="172237D1">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-13.6%</w:t>
            </w:r>
          </w:p>
        </w:tc>
        <w:tc>
          <w:tcPr>
            <w:tcW w:w="0" w:type="auto"/>
            <w:shd w:val="clear" w:color="auto" w:fill="FFFFFF"/>
            <w:tcMar>
              <w:top w:w="100" w:type="dxa"/>
              <w:left w:w="150" w:type="dxa"/>
              <w:bottom w:w="100" w:type="dxa"/>
              <w:right w:w="150" w:type="dxa"/>
            </w:tcMar>
          </w:tcPr>
          <w:p w14:paraId="689A0045">
            <w:pPr>
              <w:spacing w:before="40" w:after="40"/>
              <w:jc w:val="left"/>
              <w:rPr>
                <w:rFonts w:hint="default" w:ascii="Times New Roman" w:hAnsi="Times New Roman" w:cs="Times New Roman"/>
                <w:b w:val="0"/>
                <w:i/>
                <w:iCs/>
                <w:color w:val="000000"/>
                <w:sz w:val="20"/>
                <w:szCs w:val="20"/>
              </w:rPr>
            </w:pPr>
            <w:r>
              <w:rPr>
                <w:rFonts w:hint="default" w:ascii="Times New Roman" w:hAnsi="Times New Roman" w:cs="Times New Roman"/>
                <w:b w:val="0"/>
                <w:i/>
                <w:iCs/>
                <w:color w:val="000000"/>
                <w:sz w:val="20"/>
                <w:szCs w:val="20"/>
              </w:rPr>
              <w:t>Vital EWM Value: Maintains lifeline water supply during prolonged events.</w:t>
            </w:r>
          </w:p>
        </w:tc>
      </w:tr>
    </w:tbl>
    <w:p w14:paraId="79F393C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p>
    <w:p w14:paraId="15C19DB7">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sz w:val="24"/>
          <w:szCs w:val="24"/>
          <w:lang w:val="en-US" w:eastAsia="zh-CN"/>
        </w:rPr>
      </w:pPr>
      <w:r>
        <w:rPr>
          <w:rFonts w:hint="default" w:ascii="Georgia" w:hAnsi="Georgia" w:eastAsia="等线" w:cs="Times New Roman"/>
          <w:b/>
          <w:bCs/>
          <w:i/>
          <w:iCs/>
          <w:sz w:val="24"/>
          <w:szCs w:val="24"/>
          <w:lang w:val="en-US" w:eastAsia="zh-CN"/>
        </w:rPr>
        <w:t>Comment 5: Discussion</w:t>
      </w:r>
    </w:p>
    <w:p w14:paraId="04E671C8">
      <w:pPr>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Reviewer Comment:</w:t>
      </w:r>
    </w:p>
    <w:p w14:paraId="6AB6D814">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concept of time-based performance compensation is proposed, but the linkage mechanism among cyber sensing layer, control layer and physical hydraulic layer is not decomposed. Combine the CPS three-layer architecture to elaborate the complete working mechanism of EWM.</w:t>
      </w:r>
    </w:p>
    <w:p w14:paraId="3A54149D">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Expand the discussion on limitations: the model does not take water quality deterioration, negative pressure backflow and dynamic user water demand into account; supplement relevant explanations.</w:t>
      </w:r>
    </w:p>
    <w:p w14:paraId="48492CE6">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future research directions (AI, Digital Twin) are too general. Combine the current simulation framework to specify how to integrate Digital Twin technology and realize dynamic threshold adjustment.</w:t>
      </w:r>
    </w:p>
    <w:p w14:paraId="239FB872">
      <w:pPr>
        <w:jc w:val="both"/>
        <w:rPr>
          <w:rFonts w:hint="default" w:ascii="Times New Roman" w:hAnsi="Times New Roman" w:cs="Times New Roman"/>
          <w:i/>
          <w:iCs/>
          <w:sz w:val="24"/>
          <w:szCs w:val="24"/>
          <w:lang w:val="en-US" w:eastAsia="zh-CN"/>
        </w:rPr>
      </w:pPr>
    </w:p>
    <w:p w14:paraId="3FD11C6D">
      <w:pPr>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p>
    <w:p w14:paraId="7FBDDF70">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thank Reviewer for these three perceptive suggestions regarding Section 4 (Discussion). We agree that decomposing the CPS three-layer linkage mechanism, expanding on physical limitations, and providing a concrete roadmap for AI/Digital Twin integration significantly enhances the depth and impact of the paper.</w:t>
      </w:r>
    </w:p>
    <w:p w14:paraId="7C52F9CC">
      <w:pPr>
        <w:jc w:val="both"/>
        <w:rPr>
          <w:rFonts w:hint="default" w:ascii="Times New Roman" w:hAnsi="Times New Roman" w:cs="Times New Roman"/>
          <w:sz w:val="24"/>
          <w:szCs w:val="24"/>
          <w:lang w:val="en-US" w:eastAsia="zh-CN"/>
        </w:rPr>
      </w:pPr>
    </w:p>
    <w:p w14:paraId="36A2AE40">
      <w:pPr>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Three-Layer CPS Linkage Mechanism (4.1):</w:t>
      </w:r>
      <w:r>
        <w:rPr>
          <w:rFonts w:hint="default" w:ascii="Times New Roman" w:hAnsi="Times New Roman" w:cs="Times New Roman"/>
          <w:sz w:val="24"/>
          <w:szCs w:val="24"/>
          <w:lang w:val="en-US" w:eastAsia="zh-CN"/>
        </w:rPr>
        <w:t xml:space="preserve"> We systematically decomposed the closed-loop coupling between the three layers:</w:t>
      </w:r>
    </w:p>
    <w:p w14:paraId="1EB66FAA">
      <w:pPr>
        <w:jc w:val="both"/>
        <w:rPr>
          <w:rFonts w:hint="default" w:ascii="Times New Roman" w:hAnsi="Times New Roman" w:cs="Times New Roman"/>
          <w:sz w:val="24"/>
          <w:szCs w:val="24"/>
          <w:lang w:val="en-US" w:eastAsia="zh-CN"/>
        </w:rPr>
      </w:pPr>
    </w:p>
    <w:p w14:paraId="1C509F51">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Cyber Sensing Layer:</w:t>
      </w:r>
      <w:r>
        <w:rPr>
          <w:rFonts w:hint="default" w:ascii="Times New Roman" w:hAnsi="Times New Roman" w:cs="Times New Roman"/>
          <w:sz w:val="24"/>
          <w:szCs w:val="24"/>
          <w:lang w:val="en-US" w:eastAsia="zh-CN"/>
        </w:rPr>
        <w:t xml:space="preserve"> High-frequency SCADA polling (300 s sampling) detects initial pressure/tank level drawdown ΔH/Δt immediately upon pump shutdown at t=24 h.</w:t>
      </w:r>
    </w:p>
    <w:p w14:paraId="4D57132A">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b/>
          <w:bCs/>
          <w:sz w:val="24"/>
          <w:szCs w:val="24"/>
          <w:lang w:val="en-US" w:eastAsia="zh-CN"/>
        </w:rPr>
        <w:t xml:space="preserve">Cyber Control Layer: </w:t>
      </w:r>
      <w:r>
        <w:rPr>
          <w:rFonts w:hint="default" w:ascii="Times New Roman" w:hAnsi="Times New Roman" w:cs="Times New Roman"/>
          <w:sz w:val="24"/>
          <w:szCs w:val="24"/>
          <w:lang w:val="en-US" w:eastAsia="zh-CN"/>
        </w:rPr>
        <w:t>Evaluates risk state against thresholds, enforces the monotonic ratchet rule to prevent control chattering, and issues demand curtailment multipliers (γ∈{0.70,0.40,0.20}).</w:t>
      </w:r>
    </w:p>
    <w:p w14:paraId="754AAEEF">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b/>
          <w:bCs/>
          <w:sz w:val="24"/>
          <w:szCs w:val="24"/>
          <w:lang w:val="en-US" w:eastAsia="zh-CN"/>
        </w:rPr>
        <w:t xml:space="preserve">Physical Hydraulic Layer: </w:t>
      </w:r>
      <w:r>
        <w:rPr>
          <w:rFonts w:hint="default" w:ascii="Times New Roman" w:hAnsi="Times New Roman" w:cs="Times New Roman"/>
          <w:sz w:val="24"/>
          <w:szCs w:val="24"/>
          <w:lang w:val="en-US" w:eastAsia="zh-CN"/>
        </w:rPr>
        <w:t>Throttles nodal demand, slowing tank volumetric outflow (Qout =A⋅dH/dt), maintaining tank level above 0.50 m, and preserving pipeline head above 0.10 MPa.</w:t>
      </w:r>
    </w:p>
    <w:p w14:paraId="2C05623B">
      <w:pPr>
        <w:numPr>
          <w:ilvl w:val="0"/>
          <w:numId w:val="0"/>
        </w:num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clarify that physical tank volume provides the raw time budget, but cyber sensing and control actively deploy this budget to create the time-difference buffer.</w:t>
      </w:r>
    </w:p>
    <w:p w14:paraId="1C03D231">
      <w:pPr>
        <w:jc w:val="both"/>
        <w:rPr>
          <w:rFonts w:hint="default" w:ascii="Times New Roman" w:hAnsi="Times New Roman" w:cs="Times New Roman"/>
          <w:sz w:val="24"/>
          <w:szCs w:val="24"/>
          <w:lang w:val="en-US" w:eastAsia="zh-CN"/>
        </w:rPr>
      </w:pPr>
    </w:p>
    <w:p w14:paraId="3014B09C">
      <w:pPr>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b/>
          <w:bCs/>
          <w:sz w:val="24"/>
          <w:szCs w:val="24"/>
          <w:lang w:val="en-US" w:eastAsia="zh-CN"/>
        </w:rPr>
        <w:t xml:space="preserve">Expanded Physical Limitations (4.3): </w:t>
      </w:r>
      <w:r>
        <w:rPr>
          <w:rFonts w:hint="default" w:ascii="Times New Roman" w:hAnsi="Times New Roman" w:cs="Times New Roman"/>
          <w:sz w:val="24"/>
          <w:szCs w:val="24"/>
          <w:lang w:val="en-US" w:eastAsia="zh-CN"/>
        </w:rPr>
        <w:t>We added a detailed, dedicated discussion on three physical real-world limitations:</w:t>
      </w:r>
    </w:p>
    <w:p w14:paraId="0EB7EC3D">
      <w:pPr>
        <w:jc w:val="both"/>
        <w:rPr>
          <w:rFonts w:hint="default" w:ascii="Times New Roman" w:hAnsi="Times New Roman" w:cs="Times New Roman"/>
          <w:sz w:val="24"/>
          <w:szCs w:val="24"/>
          <w:lang w:val="en-US" w:eastAsia="zh-CN"/>
        </w:rPr>
      </w:pPr>
    </w:p>
    <w:p w14:paraId="079C025F">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 xml:space="preserve">Water Quality Deterioration: </w:t>
      </w:r>
      <w:r>
        <w:rPr>
          <w:rFonts w:hint="default" w:ascii="Times New Roman" w:hAnsi="Times New Roman" w:cs="Times New Roman"/>
          <w:sz w:val="24"/>
          <w:szCs w:val="24"/>
          <w:lang w:val="en-US" w:eastAsia="zh-CN"/>
        </w:rPr>
        <w:t>Extended hydraulic residence time during CRITICAL state (20% flow) increases water age and chlorine decay, potentially risking microbial regrowth during prolonged outages.</w:t>
      </w:r>
    </w:p>
    <w:p w14:paraId="24835699">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b/>
          <w:bCs/>
          <w:sz w:val="24"/>
          <w:szCs w:val="24"/>
          <w:lang w:val="en-US" w:eastAsia="zh-CN"/>
        </w:rPr>
        <w:t xml:space="preserve">Negative Pressure and Backflow Risk: </w:t>
      </w:r>
      <w:r>
        <w:rPr>
          <w:rFonts w:hint="default" w:ascii="Times New Roman" w:hAnsi="Times New Roman" w:cs="Times New Roman"/>
          <w:sz w:val="24"/>
          <w:szCs w:val="24"/>
          <w:lang w:val="en-US" w:eastAsia="zh-CN"/>
        </w:rPr>
        <w:t>Although average network head remains above 0.10 MPa, localized high-elevation nodes may experience transient low-pressure conditions during demand switching, increasing backflow contamination risks.</w:t>
      </w:r>
    </w:p>
    <w:p w14:paraId="38BD8D3D">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b/>
          <w:bCs/>
          <w:sz w:val="24"/>
          <w:szCs w:val="24"/>
          <w:lang w:val="en-US" w:eastAsia="zh-CN"/>
        </w:rPr>
        <w:t xml:space="preserve">Dynamic and Heterogeneous Customer Demand: </w:t>
      </w:r>
      <w:r>
        <w:rPr>
          <w:rFonts w:hint="default" w:ascii="Times New Roman" w:hAnsi="Times New Roman" w:cs="Times New Roman"/>
          <w:sz w:val="24"/>
          <w:szCs w:val="24"/>
          <w:lang w:val="en-US" w:eastAsia="zh-CN"/>
        </w:rPr>
        <w:t>Real-world demand fluctuates stochastically across residential, commercial, and industrial user classes, whereas the current model applies a spatially uniform demand reduction multiplier.</w:t>
      </w:r>
    </w:p>
    <w:p w14:paraId="069C585D">
      <w:pPr>
        <w:jc w:val="both"/>
        <w:rPr>
          <w:rFonts w:hint="default" w:ascii="Times New Roman" w:hAnsi="Times New Roman" w:cs="Times New Roman"/>
          <w:sz w:val="24"/>
          <w:szCs w:val="24"/>
          <w:lang w:val="en-US" w:eastAsia="zh-CN"/>
        </w:rPr>
      </w:pPr>
    </w:p>
    <w:p w14:paraId="1EA796D3">
      <w:pPr>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b/>
          <w:bCs/>
          <w:sz w:val="24"/>
          <w:szCs w:val="24"/>
          <w:lang w:val="en-US" w:eastAsia="zh-CN"/>
        </w:rPr>
        <w:t>Concrete AI and Digital Twin Integration Roadmap (4.4):</w:t>
      </w:r>
      <w:r>
        <w:rPr>
          <w:rFonts w:hint="default" w:ascii="Times New Roman" w:hAnsi="Times New Roman" w:cs="Times New Roman"/>
          <w:sz w:val="24"/>
          <w:szCs w:val="24"/>
          <w:lang w:val="en-US" w:eastAsia="zh-CN"/>
        </w:rPr>
        <w:t xml:space="preserve"> We replaced general statements with a concrete, architectural blueprint for Digital Twin integration:</w:t>
      </w:r>
    </w:p>
    <w:p w14:paraId="63668A12">
      <w:pPr>
        <w:jc w:val="both"/>
        <w:rPr>
          <w:rFonts w:hint="default" w:ascii="Times New Roman" w:hAnsi="Times New Roman" w:cs="Times New Roman"/>
          <w:sz w:val="24"/>
          <w:szCs w:val="24"/>
          <w:lang w:val="en-US" w:eastAsia="zh-CN"/>
        </w:rPr>
      </w:pPr>
    </w:p>
    <w:p w14:paraId="74589E08">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 </w:t>
      </w:r>
      <w:r>
        <w:rPr>
          <w:rFonts w:hint="default" w:ascii="Times New Roman" w:hAnsi="Times New Roman" w:cs="Times New Roman"/>
          <w:sz w:val="24"/>
          <w:szCs w:val="24"/>
          <w:lang w:val="en-US" w:eastAsia="zh-CN"/>
        </w:rPr>
        <w:t>Constructing a real-time WNTR “shadow model” running in parallel with physical SCADA.</w:t>
      </w:r>
    </w:p>
    <w:p w14:paraId="66D184A4">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 </w:t>
      </w:r>
      <w:r>
        <w:rPr>
          <w:rFonts w:hint="default" w:ascii="Times New Roman" w:hAnsi="Times New Roman" w:cs="Times New Roman"/>
          <w:sz w:val="24"/>
          <w:szCs w:val="24"/>
          <w:lang w:val="en-US" w:eastAsia="zh-CN"/>
        </w:rPr>
        <w:t>Deploying a Reinforcement Learning (RL/Deep Q-Network) or Gradient Boosted Decision Tree (GBDT) agent trained on historical hydraulic data.</w:t>
      </w:r>
    </w:p>
    <w:p w14:paraId="67441485">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(3) </w:t>
      </w:r>
      <w:r>
        <w:rPr>
          <w:rFonts w:hint="default" w:ascii="Times New Roman" w:hAnsi="Times New Roman" w:cs="Times New Roman"/>
          <w:sz w:val="24"/>
          <w:szCs w:val="24"/>
          <w:lang w:val="en-US" w:eastAsia="zh-CN"/>
        </w:rPr>
        <w:t>Dynamically adjusting water level risk thresholds in real-time based on live weather forecasts, seasonal demand patterns, battery backup states, and real-time pipe aging metrics.</w:t>
      </w:r>
    </w:p>
    <w:p w14:paraId="4EA35682">
      <w:pPr>
        <w:numPr>
          <w:ilvl w:val="0"/>
          <w:numId w:val="0"/>
        </w:numPr>
        <w:ind w:leftChars="0"/>
        <w:jc w:val="both"/>
        <w:rPr>
          <w:rFonts w:hint="default" w:ascii="Times New Roman" w:hAnsi="Times New Roman" w:cs="Times New Roman"/>
          <w:sz w:val="24"/>
          <w:szCs w:val="24"/>
          <w:lang w:val="en-US" w:eastAsia="zh-CN"/>
        </w:rPr>
      </w:pPr>
    </w:p>
    <w:p w14:paraId="3B6079A1">
      <w:pPr>
        <w:jc w:val="both"/>
        <w:rPr>
          <w:rFonts w:hint="eastAsia"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Changes in Manuscript</w:t>
      </w:r>
      <w:r>
        <w:rPr>
          <w:rFonts w:hint="eastAsia" w:ascii="Times New Roman" w:hAnsi="Times New Roman" w:cs="Times New Roman"/>
          <w:b/>
          <w:bCs/>
          <w:i w:val="0"/>
          <w:iCs w:val="0"/>
          <w:sz w:val="24"/>
          <w:szCs w:val="24"/>
          <w:lang w:val="en-US" w:eastAsia="zh-CN"/>
        </w:rPr>
        <w:t>:</w:t>
      </w:r>
    </w:p>
    <w:p w14:paraId="6E694F4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Section 4 in the revised manuscript now reads as follows:</w:t>
      </w:r>
    </w:p>
    <w:p w14:paraId="70082B3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4. Discussion</w:t>
      </w:r>
    </w:p>
    <w:p w14:paraId="19B66BB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4.1 Three-Layer Cyber-Physical Linkage Mechanism and Time-Difference Buffer</w:t>
      </w:r>
    </w:p>
    <w:p w14:paraId="1714A75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proactive resilience demonstrated by the EWM framework emerges directly from the tight, closed-loop coupling across the three layers of the urban water supply CPS (Fig. 3). The Cyber Sensing Layer continuously polls tank telemetry and pump operational status at 300-s intervals. Upon pump shutdown at t = 24 h, the sensing layer detects storage drawdown within minutes, hours before physical pipe depressurization becomes severe. The Cyber Control Layer processes these signals, evaluates current tank levels against risk thresholds, applies a monotonic ratchet rule to prevent control oscillation, and transmits demand reduction multipliers (γ = 0.70, 0.40, 0.20) to distribution nodes. The Physical Hydraulic Layer responds by reducing volumetric discharge, slowing tank drainage (d H_{tank} / dt = (Q_{in} - Q_{out}) / A_{tank}), and keeping tank outlet valves submerged above 0.50 m.</w:t>
      </w:r>
    </w:p>
    <w:p w14:paraId="336818B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While physical storage provides the raw hydraulic capacity, the cyber layer actively manages the rate of consumption, converting passive water volume into an active time-difference buffer that sustains pipeline head above 0.10 MPa throughout the outage. Thus, proactive resilience is an emergent property of integrated cyber-physical coupling rather than a feature of physical storage alone.</w:t>
      </w:r>
    </w:p>
    <w:p w14:paraId="309C4C1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4.2 Physical Insights from Dual-Metric Divergence</w:t>
      </w:r>
    </w:p>
    <w:p w14:paraId="52795E3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The observed divergence between the pressure-based index (RI_{pressure} = 0.84) and the service-based index (RI_{service} = 0.29) provides critical insights for water infrastructure performance assessment. Traditional resilience frameworks heavily rely on pressure head or topological connectivity (Casal-Campos et al., 2015; Meng et al., 2018), which can overstate performance recovery during operational emergency interventions. Under Pressure-Driven Analysis (PDA), maintaining pipeline pressure during source outages is accomplished by intentionally curtailing outflow. Therefore, evaluating resilience solely through pressure head reflects physical pressure robustness (the preservation of structural head above cavitation thresholds) rather than actual water service delivery.</w:t>
      </w:r>
    </w:p>
    <w:p w14:paraId="738B7B5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By introducing the Demand Satisfaction Ratio (DSR) alongside volumetric water accounting, this study provides an honest, service-oriented assessment. Crucially, volumetric accounting confirms that graded demand curtailment yields a net 36.2% increase in total delivered water (+489.6 m³) over the 24-h disruption. This net gain occurs because uncurtailed demand causes rapid tank dry-out and an 18-h complete outage (1,353.5 m³ delivered), whereas EWM maintains continuous controlled emergency supply over the entire outage period (1,843.1 m³ delivered). These results demonstrate that evaluating emergency load management requires dual-dimensional accounting to prevent misinterpreting pressure preservation as uncompromised consumer service.</w:t>
      </w:r>
    </w:p>
    <w:p w14:paraId="545D45D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4.3 Study Limitations and Physical Boundaries</w:t>
      </w:r>
    </w:p>
    <w:p w14:paraId="1BFD3E7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While the proposed framework demonstrates significant hydraulic resilience gains, three key physical and operational limitations warrant explicit acknowledgment. First, operating distribution networks under extended low-flow demand curtailment increases water age in distribution mains and storage tanks (Sitzenfrei, 2021). Prolonged water residence time accelerates disinfectant residual decay (e.g., free chlorine depletion) and elevates microbial regrowth risks (WHO, 2022; Zou et al., 2023), which may compromise drinking water safety despite maintaining hydraulic pressure. Second, severe localized pressure head drops during extreme supply disruptions increase the risk of transient sub-atmospheric pressure dips, which can induce back-siphonage or contaminant intrusion through pipe joints and cracks (Mignot &amp; Dewals, 2022; Taiwo et al., 2023). Although EWM maintains global average head above 0.10 MPa to mitigate this hazard, explicit transient water quality-hydraulic modeling remains necessary to evaluate localized contamination risks. Third, the baseline model implements uniform percentage demand curtailment across all network junctions. In actual municipal water systems, demand shedding must incorporate social priorities and critical infrastructure classification (Sadien et al., 2024; Zhang et al., 2025), safeguarding healthcare facilities and residential lifelines while restricting non-essential commercial and industrial consumption.</w:t>
      </w:r>
    </w:p>
    <w:p w14:paraId="1177F64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4.4 Future Research Directions: Digital Twin Integration and Adaptive Control</w:t>
      </w:r>
    </w:p>
    <w:p w14:paraId="52C5364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To overcome the rigidity of fixed water level thresholds, future research will focus on integrating Digital Twin technology with AI-driven adaptive control. The WNTR/EPANET co-simulation platform can be scaled into an online digital twin shadow model, ingesting real-time SCADA pressure and flow streams via SQLite/MQTT protocols to predict hydraulic storage drawdown trajectories 1–6 h in advance. Furthermore, lightweight Reinforcement Learning (RL) or Gradient Boosted Decision Tree (GBDT) agents trained on multi-scenario offline co-simulation ensembles can dynamically adjust triggering thresholds (Δ H) and curtailment ratios (γ) based on real-time disruption severity, initial storage levels, and forecasted diurnal demand patterns. This AI-driven adaptive triggering framework will eliminate over-curtailment risks during minor disruptions while maximizing service continuity during catastrophic outages.</w:t>
      </w:r>
    </w:p>
    <w:p w14:paraId="1F9AB6F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i/>
          <w:iCs/>
          <w:sz w:val="24"/>
          <w:szCs w:val="24"/>
          <w:lang w:val="en-US" w:eastAsia="zh-CN"/>
        </w:rPr>
      </w:pPr>
    </w:p>
    <w:p w14:paraId="270A15E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sz w:val="24"/>
          <w:szCs w:val="24"/>
          <w:lang w:val="en-US" w:eastAsia="zh-CN"/>
        </w:rPr>
      </w:pPr>
      <w:r>
        <w:rPr>
          <w:rFonts w:hint="default" w:ascii="Georgia" w:hAnsi="Georgia" w:eastAsia="等线" w:cs="Times New Roman"/>
          <w:b/>
          <w:bCs/>
          <w:i/>
          <w:iCs/>
          <w:sz w:val="24"/>
          <w:szCs w:val="24"/>
          <w:lang w:val="en-US" w:eastAsia="zh-CN"/>
        </w:rPr>
        <w:t>Comment 6: Conclusions</w:t>
      </w:r>
    </w:p>
    <w:p w14:paraId="5111688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Reviewer Comment:</w:t>
      </w:r>
    </w:p>
    <w:p w14:paraId="1975B882">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Remove repeated content and reorganize the conclusions into three parts: theoretical findings, key simulation results and engineering implications for clearer logic. Add targeted operational suggestions for water supply management departments to enrich the practical guidance of this research.</w:t>
      </w:r>
    </w:p>
    <w:p w14:paraId="289B4B86">
      <w:pPr>
        <w:jc w:val="both"/>
        <w:rPr>
          <w:rFonts w:hint="default" w:ascii="Times New Roman" w:hAnsi="Times New Roman" w:cs="Times New Roman"/>
          <w:i/>
          <w:iCs/>
          <w:sz w:val="24"/>
          <w:szCs w:val="24"/>
          <w:lang w:val="en-US" w:eastAsia="zh-CN"/>
        </w:rPr>
      </w:pPr>
    </w:p>
    <w:p w14:paraId="62F1A19A">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p>
    <w:p w14:paraId="56F51674">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We fully agree with Reviewer’s recommendation. We have thoroughly streamlined Section 5 (Conclusions), eliminating repetitive prose and organizing the final section into three structured, non-overlapping subsections: </w:t>
      </w:r>
    </w:p>
    <w:p w14:paraId="40A0CE64">
      <w:pPr>
        <w:jc w:val="both"/>
        <w:rPr>
          <w:rFonts w:hint="default" w:ascii="Times New Roman" w:hAnsi="Times New Roman" w:cs="Times New Roman"/>
          <w:sz w:val="24"/>
          <w:szCs w:val="24"/>
          <w:lang w:val="en-US" w:eastAsia="zh-CN"/>
        </w:rPr>
      </w:pPr>
    </w:p>
    <w:p w14:paraId="7F904B28">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 xml:space="preserve">Theoretical Findings: </w:t>
      </w:r>
      <w:r>
        <w:rPr>
          <w:rFonts w:hint="default" w:ascii="Times New Roman" w:hAnsi="Times New Roman" w:cs="Times New Roman"/>
          <w:sz w:val="24"/>
          <w:szCs w:val="24"/>
          <w:lang w:val="en-US" w:eastAsia="zh-CN"/>
        </w:rPr>
        <w:t>Summarizing the concept of proactive resilience, the time-difference buffer mechanism, and the three-layer CPS coupling.</w:t>
      </w:r>
    </w:p>
    <w:p w14:paraId="277BF0C8">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b/>
          <w:bCs/>
          <w:sz w:val="24"/>
          <w:szCs w:val="24"/>
          <w:lang w:val="en-US" w:eastAsia="zh-CN"/>
        </w:rPr>
        <w:t>Key Simulation Insights:</w:t>
      </w:r>
      <w:r>
        <w:rPr>
          <w:rFonts w:hint="default" w:ascii="Times New Roman" w:hAnsi="Times New Roman" w:cs="Times New Roman"/>
          <w:sz w:val="24"/>
          <w:szCs w:val="24"/>
          <w:lang w:val="en-US" w:eastAsia="zh-CN"/>
        </w:rPr>
        <w:t xml:space="preserve"> Highlighting core quantitative results (RIpressure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0.22</w:t>
      </w:r>
      <w:r>
        <w:rPr>
          <w:rFonts w:hint="eastAsia" w:ascii="Times New Roman" w:hAnsi="Times New Roman" w:cs="Times New Roman"/>
          <w:sz w:val="24"/>
          <w:szCs w:val="24"/>
          <w:lang w:val="en-US" w:eastAsia="zh-CN"/>
        </w:rPr>
        <w:t xml:space="preserve"> to </w:t>
      </w:r>
      <w:r>
        <w:rPr>
          <w:rFonts w:hint="default" w:ascii="Times New Roman" w:hAnsi="Times New Roman" w:cs="Times New Roman"/>
          <w:sz w:val="24"/>
          <w:szCs w:val="24"/>
          <w:lang w:val="en-US" w:eastAsia="zh-CN"/>
        </w:rPr>
        <w:t>0.84, RIservice0.23</w:t>
      </w:r>
      <w:r>
        <w:rPr>
          <w:rFonts w:hint="eastAsia" w:ascii="Times New Roman" w:hAnsi="Times New Roman" w:cs="Times New Roman"/>
          <w:sz w:val="24"/>
          <w:szCs w:val="24"/>
          <w:lang w:val="en-US" w:eastAsia="zh-CN"/>
        </w:rPr>
        <w:t xml:space="preserve"> to </w:t>
      </w:r>
      <w:r>
        <w:rPr>
          <w:rFonts w:hint="default" w:ascii="Times New Roman" w:hAnsi="Times New Roman" w:cs="Times New Roman"/>
          <w:sz w:val="24"/>
          <w:szCs w:val="24"/>
          <w:lang w:val="en-US" w:eastAsia="zh-CN"/>
        </w:rPr>
        <w:t>0.29, +36.2% delivered water volume gain, −8.8% unmet demand reduction, and 18-h outage application boundary).</w:t>
      </w:r>
    </w:p>
    <w:p w14:paraId="0F7CDA70">
      <w:pPr>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 xml:space="preserve">3. </w:t>
      </w:r>
      <w:r>
        <w:rPr>
          <w:rFonts w:hint="default" w:ascii="Times New Roman" w:hAnsi="Times New Roman" w:cs="Times New Roman"/>
          <w:b/>
          <w:bCs/>
          <w:sz w:val="24"/>
          <w:szCs w:val="24"/>
          <w:lang w:val="en-US" w:eastAsia="zh-CN"/>
        </w:rPr>
        <w:t>Practical Guidance and Operational Recommendations for Water Utilities:</w:t>
      </w:r>
      <w:r>
        <w:rPr>
          <w:rFonts w:hint="default" w:ascii="Times New Roman" w:hAnsi="Times New Roman" w:cs="Times New Roman"/>
          <w:sz w:val="24"/>
          <w:szCs w:val="24"/>
          <w:lang w:val="en-US" w:eastAsia="zh-CN"/>
        </w:rPr>
        <w:t xml:space="preserve"> Providing three concrete, actionable strategies for municipal water managers.</w:t>
      </w:r>
    </w:p>
    <w:p w14:paraId="77D14115">
      <w:pPr>
        <w:numPr>
          <w:ilvl w:val="0"/>
          <w:numId w:val="0"/>
        </w:numPr>
        <w:ind w:leftChars="0"/>
        <w:jc w:val="both"/>
        <w:rPr>
          <w:rFonts w:hint="default" w:ascii="Times New Roman" w:hAnsi="Times New Roman" w:cs="Times New Roman"/>
          <w:sz w:val="24"/>
          <w:szCs w:val="24"/>
          <w:lang w:val="en-US" w:eastAsia="zh-CN"/>
        </w:rPr>
      </w:pPr>
    </w:p>
    <w:p w14:paraId="49BF8E86">
      <w:pPr>
        <w:numPr>
          <w:ilvl w:val="0"/>
          <w:numId w:val="0"/>
        </w:numPr>
        <w:ind w:left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Changes in Manuscript:</w:t>
      </w:r>
    </w:p>
    <w:p w14:paraId="38C93876">
      <w:pPr>
        <w:numPr>
          <w:ilvl w:val="0"/>
          <w:numId w:val="0"/>
        </w:numPr>
        <w:ind w:leftChars="0"/>
        <w:jc w:val="both"/>
        <w:rPr>
          <w:rFonts w:hint="default" w:ascii="Times New Roman" w:hAnsi="Times New Roman" w:cs="Times New Roman"/>
          <w:b/>
          <w:bCs/>
          <w:i/>
          <w:iCs/>
          <w:sz w:val="24"/>
          <w:szCs w:val="24"/>
          <w:lang w:val="en-US" w:eastAsia="zh-CN"/>
        </w:rPr>
      </w:pPr>
      <w:r>
        <w:rPr>
          <w:rFonts w:hint="default" w:ascii="Times New Roman" w:hAnsi="Times New Roman" w:cs="Times New Roman"/>
          <w:i/>
          <w:iCs/>
          <w:sz w:val="24"/>
          <w:szCs w:val="24"/>
          <w:lang w:val="en-US" w:eastAsia="zh-CN"/>
        </w:rPr>
        <w:t>Section 5 (Conclusions) in the revised manuscript has been completely rewritten as follows:</w:t>
      </w:r>
    </w:p>
    <w:p w14:paraId="0E08C62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5. Conclusions</w:t>
      </w:r>
    </w:p>
    <w:p w14:paraId="4C9B297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5.1 Theoretical Findings</w:t>
      </w:r>
    </w:p>
    <w:p w14:paraId="79BF885A">
      <w:pPr>
        <w:numPr>
          <w:ilvl w:val="0"/>
          <w:numId w:val="0"/>
        </w:numPr>
        <w:ind w:leftChars="0"/>
        <w:jc w:val="both"/>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This study establishes a proactive resilience paradigm for urban water supply Cyber-Physical Systems (CPS) under extreme water source outages. We demonstrate that system resilience is not merely a passive property determined by physical pipe sizing or tank capacity, but an emergent, dynamic capability driven by the coupling of cyber early warning with physical demand management. By exploiting the time-difference buffer between rapid cyber sensing and gradual hydraulic degradation, proactive demand curtailment actively transforms passive storage reserves into extended operational survival time.</w:t>
      </w:r>
    </w:p>
    <w:p w14:paraId="56E5C74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5.2 Key Simulation Insights</w:t>
      </w:r>
    </w:p>
    <w:p w14:paraId="6B20BF9C">
      <w:pPr>
        <w:numPr>
          <w:ilvl w:val="0"/>
          <w:numId w:val="0"/>
        </w:numPr>
        <w:ind w:leftChars="0"/>
        <w:jc w:val="both"/>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Quantitative co-simulation on the Anytown benchmark network under a 24-h total pump outage reveals three core insights: first, EWM elevates the Pressure Resilience Index (RIpressure) from 0.22 to 0.84 (Δ = +0.62) and the Service Resilience Index (RIservice) from 0.23 to 0.29 (Δ = +0.058); second, proactive 70% / 40% / 20% demand management prevents premature tank outlet pipe closure, increasing total delivered water volume by +36.2% (1,843.1 m³ vs. 1,353.5 m³) and reducing cumulative unmet demand by -8.8% (5,979.7 m³ vs. 6,469.3 m³); and third, multi-factor sensitivity analysis reveals that EWM yields substantial net gains for source outages exceeding 18 h and in systems with constrained storage, whereas short outages (&lt; 12 h) require minimal curtailment to avoid unnecessary service restriction.</w:t>
      </w:r>
    </w:p>
    <w:p w14:paraId="3DDA8B6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5.3 Actionable Operational Recommendations for Water Utilities</w:t>
      </w:r>
    </w:p>
    <w:p w14:paraId="224B7CE2">
      <w:pPr>
        <w:numPr>
          <w:ilvl w:val="0"/>
          <w:numId w:val="0"/>
        </w:numPr>
        <w:ind w:leftChars="0"/>
        <w:jc w:val="both"/>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Based on our quantitative findings, three actionable operational recommendations are proposed for municipal water utilities: first, water utilities should embed automated, threshold-triggered demand management protocols directly into existing SCADA/PLC control architectures rather than relying solely on passive alarm systems; second, municipalities should establish Standard Operating Procedures (SOPs) that categorize urban water demand into critical (e.g., hospitals, fire protection) and non-essential (e.g., irrigation, industrial washing) tiers, enabling automated AMI-driven load shedding during severe source disruptions; and third, utility engineers should calibrate water level risk thresholds based on system-specific reaction time windows and active storage volume, ensuring that emergency demand management is triggered before tank levels reach critical outlet submergence limits.</w:t>
      </w:r>
    </w:p>
    <w:p w14:paraId="5CD0819D">
      <w:pPr>
        <w:numPr>
          <w:ilvl w:val="0"/>
          <w:numId w:val="0"/>
        </w:numPr>
        <w:ind w:leftChars="0"/>
        <w:jc w:val="both"/>
        <w:rPr>
          <w:rFonts w:hint="default" w:ascii="Times New Roman" w:hAnsi="Times New Roman" w:cs="Times New Roman"/>
          <w:sz w:val="24"/>
          <w:szCs w:val="24"/>
          <w:lang w:val="en-US" w:eastAsia="zh-CN"/>
        </w:rPr>
      </w:pPr>
    </w:p>
    <w:p w14:paraId="22C541EF">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sz w:val="24"/>
          <w:szCs w:val="24"/>
          <w:lang w:val="en-US" w:eastAsia="zh-CN"/>
        </w:rPr>
      </w:pPr>
      <w:r>
        <w:rPr>
          <w:rFonts w:hint="default" w:ascii="Georgia" w:hAnsi="Georgia" w:eastAsia="等线" w:cs="Times New Roman"/>
          <w:b/>
          <w:bCs/>
          <w:i/>
          <w:iCs/>
          <w:sz w:val="24"/>
          <w:szCs w:val="24"/>
          <w:lang w:val="en-US" w:eastAsia="zh-CN"/>
        </w:rPr>
        <w:t>Comment 7</w:t>
      </w:r>
      <w:r>
        <w:rPr>
          <w:rFonts w:hint="eastAsia" w:ascii="Georgia" w:hAnsi="Georgia" w:eastAsia="等线" w:cs="Times New Roman"/>
          <w:b/>
          <w:bCs/>
          <w:i/>
          <w:iCs/>
          <w:sz w:val="24"/>
          <w:szCs w:val="24"/>
          <w:lang w:val="en-US" w:eastAsia="zh-CN"/>
        </w:rPr>
        <w:t>: Language, Grammar and References</w:t>
      </w:r>
    </w:p>
    <w:p w14:paraId="4BEAD446">
      <w:pPr>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Reviewer Comment:</w:t>
      </w:r>
    </w:p>
    <w:p w14:paraId="2F0E46DF">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Proofread the full text to correct spelling errors, grammatical mistakes and awkward long sentences. Unify the expression of professional terms (time-difference buffer / time-difference window).</w:t>
      </w:r>
    </w:p>
    <w:p w14:paraId="17113874">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Sort out the reference list: delete duplicate literature entries, and revise references to comply with the formatting requirements of ENGINEERING Management.</w:t>
      </w:r>
    </w:p>
    <w:p w14:paraId="2587B87A">
      <w:pPr>
        <w:jc w:val="both"/>
        <w:rPr>
          <w:rFonts w:hint="default" w:ascii="Times New Roman" w:hAnsi="Times New Roman" w:cs="Times New Roman"/>
          <w:i/>
          <w:iCs/>
          <w:sz w:val="24"/>
          <w:szCs w:val="24"/>
          <w:lang w:val="en-US" w:eastAsia="zh-CN"/>
        </w:rPr>
      </w:pPr>
    </w:p>
    <w:p w14:paraId="62B5B8CF">
      <w:pPr>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p>
    <w:p w14:paraId="2D4B5041">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sincerely thank Reviewer for these essential formatting and editorial guidelines. We have completed a comprehensive, meticulous audit of the entire manuscript:</w:t>
      </w:r>
    </w:p>
    <w:p w14:paraId="23F98623">
      <w:pPr>
        <w:jc w:val="both"/>
        <w:rPr>
          <w:rFonts w:hint="default" w:ascii="Times New Roman" w:hAnsi="Times New Roman" w:cs="Times New Roman"/>
          <w:b/>
          <w:bCs/>
          <w:sz w:val="24"/>
          <w:szCs w:val="24"/>
          <w:lang w:val="en-US" w:eastAsia="zh-CN"/>
        </w:rPr>
      </w:pPr>
    </w:p>
    <w:p w14:paraId="0C9A9159">
      <w:pPr>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1. </w:t>
      </w:r>
      <w:r>
        <w:rPr>
          <w:rFonts w:hint="default" w:ascii="Times New Roman" w:hAnsi="Times New Roman" w:cs="Times New Roman"/>
          <w:b/>
          <w:bCs/>
          <w:sz w:val="24"/>
          <w:szCs w:val="24"/>
          <w:lang w:val="en-US" w:eastAsia="zh-CN"/>
        </w:rPr>
        <w:t>Full-Text Proofreading and Terminology Unification:</w:t>
      </w:r>
    </w:p>
    <w:p w14:paraId="45CD2B69">
      <w:pPr>
        <w:jc w:val="both"/>
        <w:rPr>
          <w:rFonts w:hint="default" w:ascii="Times New Roman" w:hAnsi="Times New Roman" w:cs="Times New Roman"/>
          <w:sz w:val="24"/>
          <w:szCs w:val="24"/>
          <w:lang w:val="en-US" w:eastAsia="zh-CN"/>
        </w:rPr>
      </w:pPr>
    </w:p>
    <w:p w14:paraId="4A0092C0">
      <w:pPr>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 </w:t>
      </w:r>
      <w:r>
        <w:rPr>
          <w:rFonts w:hint="default" w:ascii="Times New Roman" w:hAnsi="Times New Roman" w:cs="Times New Roman"/>
          <w:sz w:val="24"/>
          <w:szCs w:val="24"/>
          <w:lang w:val="en-US" w:eastAsia="zh-CN"/>
        </w:rPr>
        <w:t>We thoroughly proofread the entire text to correct grammatical errors, fix run-on sentences, and enhance academic clarity.</w:t>
      </w:r>
    </w:p>
    <w:p w14:paraId="09D830F6">
      <w:pPr>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 </w:t>
      </w:r>
      <w:r>
        <w:rPr>
          <w:rFonts w:hint="default" w:ascii="Times New Roman" w:hAnsi="Times New Roman" w:cs="Times New Roman"/>
          <w:sz w:val="24"/>
          <w:szCs w:val="24"/>
          <w:lang w:val="en-US" w:eastAsia="zh-CN"/>
        </w:rPr>
        <w:t>We strictly unified key professional terminology throughout the manuscript:</w:t>
      </w:r>
    </w:p>
    <w:p w14:paraId="3B89D68F">
      <w:pPr>
        <w:ind w:firstLine="482" w:firstLineChars="200"/>
        <w:jc w:val="both"/>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time-difference buffer: </w:t>
      </w:r>
      <w:r>
        <w:rPr>
          <w:rFonts w:hint="default" w:ascii="Times New Roman" w:hAnsi="Times New Roman" w:cs="Times New Roman"/>
          <w:sz w:val="24"/>
          <w:szCs w:val="24"/>
          <w:lang w:val="en-US" w:eastAsia="zh-CN"/>
        </w:rPr>
        <w:t>Used exclusively when referring to the conceptual, physical-cyber mechanism by which cyber sensing buffers hydraulic collapse.</w:t>
      </w:r>
    </w:p>
    <w:p w14:paraId="284DB1B6">
      <w:pPr>
        <w:ind w:firstLine="482" w:firstLineChars="200"/>
        <w:jc w:val="both"/>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time-difference window: </w:t>
      </w:r>
      <w:r>
        <w:rPr>
          <w:rFonts w:hint="default" w:ascii="Times New Roman" w:hAnsi="Times New Roman" w:cs="Times New Roman"/>
          <w:sz w:val="24"/>
          <w:szCs w:val="24"/>
          <w:lang w:val="en-US" w:eastAsia="zh-CN"/>
        </w:rPr>
        <w:t>Used exclusively when referring to the quantified temporal duration (ΔT, in hours) between cyber detection and physical tank outlet failure.</w:t>
      </w:r>
    </w:p>
    <w:p w14:paraId="70A96F09">
      <w:pPr>
        <w:jc w:val="both"/>
        <w:rPr>
          <w:rFonts w:hint="default" w:ascii="Times New Roman" w:hAnsi="Times New Roman" w:cs="Times New Roman"/>
          <w:sz w:val="24"/>
          <w:szCs w:val="24"/>
          <w:lang w:val="en-US" w:eastAsia="zh-CN"/>
        </w:rPr>
      </w:pPr>
    </w:p>
    <w:p w14:paraId="29D9BB39">
      <w:pPr>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2. </w:t>
      </w:r>
      <w:r>
        <w:rPr>
          <w:rFonts w:hint="default" w:ascii="Times New Roman" w:hAnsi="Times New Roman" w:cs="Times New Roman"/>
          <w:b/>
          <w:bCs/>
          <w:sz w:val="24"/>
          <w:szCs w:val="24"/>
          <w:lang w:val="en-US" w:eastAsia="zh-CN"/>
        </w:rPr>
        <w:t>Reference Audit and EM Formatting Alignment:</w:t>
      </w:r>
    </w:p>
    <w:p w14:paraId="2092F711">
      <w:pPr>
        <w:jc w:val="both"/>
        <w:rPr>
          <w:rFonts w:hint="default" w:ascii="Times New Roman" w:hAnsi="Times New Roman" w:cs="Times New Roman"/>
          <w:sz w:val="24"/>
          <w:szCs w:val="24"/>
          <w:lang w:val="en-US" w:eastAsia="zh-CN"/>
        </w:rPr>
      </w:pPr>
    </w:p>
    <w:p w14:paraId="233A4633">
      <w:pPr>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 </w:t>
      </w:r>
      <w:r>
        <w:rPr>
          <w:rFonts w:hint="default" w:ascii="Times New Roman" w:hAnsi="Times New Roman" w:cs="Times New Roman"/>
          <w:sz w:val="24"/>
          <w:szCs w:val="24"/>
          <w:lang w:val="en-US" w:eastAsia="zh-CN"/>
        </w:rPr>
        <w:t>We audited every single entry in the reference list, identifying and permanently deleting all duplicate entries.</w:t>
      </w:r>
    </w:p>
    <w:p w14:paraId="24AFBDD2">
      <w:pPr>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 </w:t>
      </w:r>
      <w:r>
        <w:rPr>
          <w:rFonts w:hint="default" w:ascii="Times New Roman" w:hAnsi="Times New Roman" w:cs="Times New Roman"/>
          <w:sz w:val="24"/>
          <w:szCs w:val="24"/>
          <w:lang w:val="en-US" w:eastAsia="zh-CN"/>
        </w:rPr>
        <w:t xml:space="preserve">The revised reference list contains exactly </w:t>
      </w:r>
      <w:r>
        <w:rPr>
          <w:rFonts w:hint="default" w:ascii="Times New Roman" w:hAnsi="Times New Roman" w:cs="Times New Roman"/>
          <w:sz w:val="24"/>
          <w:szCs w:val="24"/>
          <w:highlight w:val="none"/>
          <w:lang w:val="en-US" w:eastAsia="zh-CN"/>
        </w:rPr>
        <w:t xml:space="preserve">57 </w:t>
      </w:r>
      <w:r>
        <w:rPr>
          <w:rFonts w:hint="default" w:ascii="Times New Roman" w:hAnsi="Times New Roman" w:cs="Times New Roman"/>
          <w:sz w:val="24"/>
          <w:szCs w:val="24"/>
          <w:lang w:val="en-US" w:eastAsia="zh-CN"/>
        </w:rPr>
        <w:t>unique, verified, and high-impact references.</w:t>
      </w:r>
    </w:p>
    <w:p w14:paraId="5262F5B0">
      <w:pPr>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(3) </w:t>
      </w:r>
      <w:r>
        <w:rPr>
          <w:rFonts w:hint="default" w:ascii="Times New Roman" w:hAnsi="Times New Roman" w:cs="Times New Roman"/>
          <w:sz w:val="24"/>
          <w:szCs w:val="24"/>
          <w:lang w:val="en-US" w:eastAsia="zh-CN"/>
        </w:rPr>
        <w:t>Every reference has been formatted strictly in accordance with E</w:t>
      </w:r>
      <w:r>
        <w:rPr>
          <w:rFonts w:hint="eastAsia" w:ascii="Times New Roman" w:hAnsi="Times New Roman" w:cs="Times New Roman"/>
          <w:sz w:val="24"/>
          <w:szCs w:val="24"/>
          <w:lang w:val="en-US" w:eastAsia="zh-CN"/>
        </w:rPr>
        <w:t>NGINEERING</w:t>
      </w:r>
      <w:r>
        <w:rPr>
          <w:rFonts w:hint="default" w:ascii="Times New Roman" w:hAnsi="Times New Roman" w:cs="Times New Roman"/>
          <w:sz w:val="24"/>
          <w:szCs w:val="24"/>
          <w:lang w:val="en-US" w:eastAsia="zh-CN"/>
        </w:rPr>
        <w:t xml:space="preserve"> Management (EM) journal style (Author A B, Author C D (Year). Title. Journal, Vol(Issue): Pages.).</w:t>
      </w:r>
    </w:p>
    <w:p w14:paraId="1567EB96">
      <w:pPr>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(4) </w:t>
      </w:r>
      <w:r>
        <w:rPr>
          <w:rFonts w:hint="default" w:ascii="Times New Roman" w:hAnsi="Times New Roman" w:cs="Times New Roman"/>
          <w:sz w:val="24"/>
          <w:szCs w:val="24"/>
          <w:lang w:val="en-US" w:eastAsia="zh-CN"/>
        </w:rPr>
        <w:t>We cross-verified in-text citations across all sections: all 57 references are explicitly cited in the text.</w:t>
      </w:r>
    </w:p>
    <w:p w14:paraId="1EA7387F">
      <w:pPr>
        <w:jc w:val="both"/>
        <w:rPr>
          <w:rFonts w:hint="default" w:ascii="Times New Roman" w:hAnsi="Times New Roman" w:cs="Times New Roman"/>
          <w:sz w:val="24"/>
          <w:szCs w:val="24"/>
          <w:lang w:val="en-US" w:eastAsia="zh-CN"/>
        </w:rPr>
      </w:pPr>
    </w:p>
    <w:p w14:paraId="74FE222E">
      <w:pPr>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Changes in Manuscript:</w:t>
      </w:r>
    </w:p>
    <w:p w14:paraId="1833067D">
      <w:pPr>
        <w:jc w:val="both"/>
        <w:rPr>
          <w:rFonts w:hint="default" w:ascii="Times New Roman" w:hAnsi="Times New Roman" w:cs="Times New Roman"/>
          <w:i/>
          <w:iCs/>
          <w:sz w:val="24"/>
          <w:szCs w:val="24"/>
          <w:highlight w:val="none"/>
          <w:lang w:val="en-US" w:eastAsia="zh-CN"/>
        </w:rPr>
      </w:pPr>
      <w:r>
        <w:rPr>
          <w:rFonts w:hint="default" w:ascii="Times New Roman" w:hAnsi="Times New Roman" w:cs="Times New Roman"/>
          <w:i/>
          <w:iCs/>
          <w:sz w:val="24"/>
          <w:szCs w:val="24"/>
          <w:highlight w:val="none"/>
          <w:lang w:val="en-US" w:eastAsia="zh-CN"/>
        </w:rPr>
        <w:t>The complete, unabridged, deduplicated 57-reference list in the revised manuscript is printed in full below:</w:t>
      </w:r>
    </w:p>
    <w:p w14:paraId="6EA9BD52">
      <w:pPr>
        <w:jc w:val="both"/>
        <w:rPr>
          <w:rFonts w:hint="default" w:ascii="Times New Roman" w:hAnsi="Times New Roman" w:cs="Times New Roman"/>
          <w:sz w:val="24"/>
          <w:szCs w:val="24"/>
          <w:lang w:val="en-US" w:eastAsia="zh-CN"/>
        </w:rPr>
      </w:pPr>
    </w:p>
    <w:p w14:paraId="44CA1AE5">
      <w:pPr>
        <w:numPr>
          <w:ilvl w:val="0"/>
          <w:numId w:val="0"/>
        </w:numPr>
        <w:ind w:leftChars="0"/>
        <w:jc w:val="both"/>
        <w:rPr>
          <w:rFonts w:hint="default" w:ascii="Times New Roman" w:hAnsi="Times New Roman" w:cs="Times New Roman"/>
          <w:i/>
          <w:iCs/>
          <w:sz w:val="24"/>
          <w:szCs w:val="24"/>
          <w:lang w:val="en-US" w:eastAsia="zh-CN"/>
        </w:rPr>
      </w:pPr>
      <w:r>
        <w:rPr>
          <w:rFonts w:hint="default" w:ascii="Times New Roman" w:hAnsi="Times New Roman" w:cs="Times New Roman"/>
          <w:b/>
          <w:bCs/>
          <w:i/>
          <w:iCs/>
          <w:sz w:val="24"/>
          <w:szCs w:val="24"/>
          <w:lang w:val="en-US" w:eastAsia="zh-CN"/>
        </w:rPr>
        <w:t>References</w:t>
      </w:r>
    </w:p>
    <w:p w14:paraId="175029E9">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Alexandra, C, Daniell, K A, Guillaume, J, Saraswat, C, Feldman, H R (2023). Cyber-physical systems in water management and governance. Current Opinion in Environmental Sustainability, 62, 101290.</w:t>
      </w:r>
    </w:p>
    <w:p w14:paraId="0351BC39">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Ande, R, Adebisi, B, Hammoudeh, M, Saleem, J (2020). Internet of Things: Evolution and technologies from a security perspective. Sustainable Cities and Society, 54, 101728.</w:t>
      </w:r>
    </w:p>
    <w:p w14:paraId="429B3CE2">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Arghandeh, R, Von Meier, A, Mehrmanesh, L, Mili, L (2016). On the definition of cyber-physical resilience in power systems. Renewable and Sustainable Energy Reviews, 58, 1060-1069.</w:t>
      </w:r>
    </w:p>
    <w:p w14:paraId="073C234B">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Argyroudis, S A, Mitoulis, S A, Chatzi, E, Baker, J W, Brilakis, I, Gkoumas, K, Linkov, I (2022). Digital technologies can enhance climate resilience of critical infrastructure. Climate Risk Management, 35, 100387.</w:t>
      </w:r>
    </w:p>
    <w:p w14:paraId="33E5AB2E">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Bhardwaj, A, Gupta, A, Khatri, S K (2021). Cyber-physical system security in smart water networks: A review. IEEE Transactions on Industrial Informatics, 17(10): 7125-7136.</w:t>
      </w:r>
    </w:p>
    <w:p w14:paraId="1253CA60">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Boltz, F, Poff, N L, Folke, C, Kete, N, Brown, C M, Freeman, S S G, Rockstrom, J (2019). Water is a master variable: Solving for resilience in the modern era. Water Security, 8, 100048.</w:t>
      </w:r>
    </w:p>
    <w:p w14:paraId="4AD061E3">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Cai, B, Zhang, Y, Wang, H, Liu, Y, Ji, R, Gao, C, Liu, J (2021). Resilience evaluation methodology of engineering systems with dynamic-Bayesian-network-based degradation and maintenance. Reliability Engineering &amp; System Safety, 209, 107464.</w:t>
      </w:r>
    </w:p>
    <w:p w14:paraId="268BF666">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Casal-Campos, A, Sadr, S M, Fu, G, Butler, D (2018). Reliable, resilient and sustainable urban drainage systems: An analysis of robustness under deep uncertainty. Environmental Science &amp; Technology, 52(16): 9008-9021.</w:t>
      </w:r>
    </w:p>
    <w:p w14:paraId="7886BA9B">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Chen, B, Li, H, Sun, G (2025). Seismic resilience assessment method and multi-objective optimal recovery strategy for large-scale urban water distribution network system. International Journal of Disaster Risk Reduction, 127, 105689.</w:t>
      </w:r>
    </w:p>
    <w:p w14:paraId="1F37AECF">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Chen, Z, Zhang, S, Dui, H (2025). Importance-based risk evaluation methodology in transportation cyber-physical systems. Frontiers of Engineering Management, 12(2): 291-304.</w:t>
      </w:r>
    </w:p>
    <w:p w14:paraId="0E150211">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Creaco, E, Franchini, M, Walski, T (2016). Accounting for pressure-driven demand in water distribution network optimization. Journal of Water Resources Planning and Management, 142(9): 04016030.</w:t>
      </w:r>
    </w:p>
    <w:p w14:paraId="6D9DE6F6">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Cui, Z, Guo, W, Zhang, T (2022). Superposition control of extreme water levels in surge tanks of pumped storage power station with two turbines under combined operating conditions. Journal of Energy Storage, 56, 105894.</w:t>
      </w:r>
    </w:p>
    <w:p w14:paraId="47477F02">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Garcia-Perez, A, Cegarra-Navarro, J G, Sallos, M P, Martinez-Caro, E, Chinnaswamy, A (2023). Resilience in healthcare systems: Cyber security and digital transformation. Technovation, 121, 102583.</w:t>
      </w:r>
    </w:p>
    <w:p w14:paraId="45B5D81D">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Hassanzadeh, A, Rasekh, A, Galelli, S, Aez, M, Taormina, R, Ostfeld, A, Banks, M K (2020). A review of cybersecurity incidents in the water sector. Journal of Environmental Engineering, 146(5): 03120003.</w:t>
      </w:r>
    </w:p>
    <w:p w14:paraId="382E9A9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He, S, Zhou, Y, Yang, Y, Liu, T, Zhou, Y, Li, J, Guan, X (2024). Cascading failure in cyber-physical systems: A review on failure modeling and vulnerability analysis. IEEE Transactions on Cybernetics, 54(12): 7936-7954.</w:t>
      </w:r>
    </w:p>
    <w:p w14:paraId="5616895A">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He, Z, Huang, H, Choi, H, Bilgihan, A (2023). Building organizational resilience with digital transformation. Journal of Service Management, 34(1): 147-171.</w:t>
      </w:r>
    </w:p>
    <w:p w14:paraId="462CBD80">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Holling, C S (1973). Resilience and stability of ecological systems. Annual Review of Ecology and Systematics, 4(1): 1-23.</w:t>
      </w:r>
    </w:p>
    <w:p w14:paraId="62A7422A">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Hosseini, S, Barker, K, Ramirez-Marquez, J E (2016). A review of definitions and measures of system resilience. Reliability Engineering &amp; System Safety, 145, 47-61.</w:t>
      </w:r>
    </w:p>
    <w:p w14:paraId="626FEE9B">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Hou, B, Huang, J, Miao, H, Zhao, X, Wu, S (2023). Seismic resilience evaluation of water distribution systems considering hydraulic and water quality performance. International Journal of Disaster Risk Reduction, 93, 103756.</w:t>
      </w:r>
    </w:p>
    <w:p w14:paraId="65F87F3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Jiang, L, Hu, Y, Li, H, Shao, X, Zhang, X, Kan, Q, Kang, G (2025). A cGAN-based fatigue life prediction of 316 austenitic stainless steel in high-temperature and high-pressure water environments. International Journal of Fatigue, 190, 108633.</w:t>
      </w:r>
    </w:p>
    <w:p w14:paraId="3F311AF6">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Juan-Garcia, P, Butler, D, Comas, J, Darch, G, Sweetapple, C, Thornton, A, Corominas, L (2017). Resilience theory incorporated into urban wastewater systems management: State of the art. Water Research, 115, 149-161.</w:t>
      </w:r>
    </w:p>
    <w:p w14:paraId="0799B0A3">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Khan, R, Zakarya, M, Balasubramanian, V, Jan, M A, Menon, V G (2020). Smart sensing-enabled decision support system for water scheduling in orange orchard. IEEE Sensors Journal, 21(16): 17492-17499.</w:t>
      </w:r>
    </w:p>
    <w:p w14:paraId="3F40C74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Khattak, Z H (2024). Cybersecurity vulnerability and resilience of cooperative driving automation for energy efficiency and flow stability in smart cities. Sustainable Cities and Society, 106, 105368.</w:t>
      </w:r>
    </w:p>
    <w:p w14:paraId="2ED41D20">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Liao, C, Chen, X, Gao, Z (2025). Toward smart charging, synergistic infrastructure and storable grid for coordinated power and transportation systems. Frontiers of Engineering Management, 12(3): 704-709.</w:t>
      </w:r>
    </w:p>
    <w:p w14:paraId="5669C3EA">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Liserra, T, Maglionico, M, Ciriello, V, Di Federico, V (2014). Evaluation of reliability indicators for WDNs with demand-driven and pressure-driven models. Water Resources Management, 28(5): 1201-1217.</w:t>
      </w:r>
    </w:p>
    <w:p w14:paraId="43B95388">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Liu, D (2019). Evaluating the dynamic resilience process of a regional water resource system through the nexus approach and resilience routing analysis. Journal of Hydrology, 578, 124028.</w:t>
      </w:r>
    </w:p>
    <w:p w14:paraId="574F983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Liu, L, Mijic, A (2025). Performance-based resilience assessment in integrated water systems: Challenges and opportunities. Journal of Hydrology, 630, 134042.</w:t>
      </w:r>
    </w:p>
    <w:p w14:paraId="65BCC9AC">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Liu, L, Zhou, X, Duenas-Osorio, L, Stadler, L, Li, Q (2023). Hybrid wastewater treatment and reuse enhances urban water system resilience to disruptive incidents. Nature Water, 1(12): 1048-1058.</w:t>
      </w:r>
    </w:p>
    <w:p w14:paraId="3E40F8D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Liu, W, Song, Z, Ouyang, M, Li, J (2020). Recovery-based seismic resilience enhancement strategies of water distribution networks. Reliability Engineering &amp; System Safety, 203, 107088.</w:t>
      </w:r>
    </w:p>
    <w:p w14:paraId="597BB1DD">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Liu, Z, Xu, W, Wang, Y (2023). Resilience assessment and enhancement of urban water supply systems under critical component failures. Frontiers of Engineering Management, 10(2): 245-258.</w:t>
      </w:r>
    </w:p>
    <w:p w14:paraId="31E9D9E4">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Madiziyire, S, Stagner, J, Carriveau, R, Biswas, N, Johnson, K, Fisk, A (2025). Evaluation of response measures for water cutoffs using pressure driven analysis simulations. Water Research, 268, 124737.</w:t>
      </w:r>
    </w:p>
    <w:p w14:paraId="341C2ED4">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Meng, F, Fu, G, Farmani, R, Sweetapple, C, Butler, D (2018). Topological ranking of water distribution networks for resilience assessment. Water Research, 129, 316-328.</w:t>
      </w:r>
    </w:p>
    <w:p w14:paraId="6D8EF8E4">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Mignot, E, Dewals, B (2022). Hydraulic modelling of inland urban flooding: Recent advances. Journal of Hydrology, 609, 127763.</w:t>
      </w:r>
    </w:p>
    <w:p w14:paraId="55DE4CE0">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Ministry of Housing and Urban-Rural Development of China (MOHURD) (2018). Standard for Outdoor Water Supply Engineering (GB 50013-2018). China Architecture &amp; Building Press, Beijing, China.</w:t>
      </w:r>
    </w:p>
    <w:p w14:paraId="5F341023">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Mohebbi, S, Zhang, Q, Wells, E C, Zhao, T, Nguyen, H, Li, M, Ou, X (2020). Cyber-physical-social interdependencies and organizational resilience: A review of water, transportation, and cyber infrastructure systems and processes. Sustainable Cities and Society, 62, 102327.</w:t>
      </w:r>
    </w:p>
    <w:p w14:paraId="6E28304A">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Moreno-Sader, K, Jain, P, Tenorio, L C B, Mannan, M S, El-Halwagi, M M (2019). Integrated approach of safety, sustainability, reliability, and resilience analysis via a return on investment metric. ACS Sustainable Chemistry &amp; Engineering, 7(24): 19522-19536.</w:t>
      </w:r>
    </w:p>
    <w:p w14:paraId="514B5E46">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Ostfeld, A, Salomons, E (2004). Optimal layout of water distribution networks security sensors. Journal of Water Resources Planning and Management, 130(5): 377-385.</w:t>
      </w:r>
    </w:p>
    <w:p w14:paraId="763BACFB">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Roach, T, Kapelan, Z (2017). Infrastructure resilience assessment using pressure-dependent hydraulic modeling of water distribution networks. Water Resources Management, 31(11): 3505-3519.</w:t>
      </w:r>
    </w:p>
    <w:p w14:paraId="65C83AD1">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Roach, T, Kapelan, Z, Ledbetter, R (2018). Resilience-based performance metrics for water resources management under uncertainty. Advances in Water Resources, 116, 18-28.</w:t>
      </w:r>
    </w:p>
    <w:p w14:paraId="00796794">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Sadien, M, Doorga, J R, Rughooputh, S D (2024). Assessment of tangible coastal inundation damage related to critical infrastructure and buildings: The case of Mauritius Island. International Journal of Disaster Risk Reduction, 114, 104909.</w:t>
      </w:r>
    </w:p>
    <w:p w14:paraId="4DD954AD">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Savic, D A, Banyard, J K (Eds) (2024). Water Supply and Distribution Systems. Emerald Group Publishing, Leeds, UK.</w:t>
      </w:r>
    </w:p>
    <w:p w14:paraId="32E2240A">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Sitzenfrei, R (2021). Using complex network analysis for water quality assessment in large water distribution systems. Water Research, 201, 117359.</w:t>
      </w:r>
    </w:p>
    <w:p w14:paraId="5650B26C">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Sun, H, Yang, M, Wang, H (2022). Resilience-based approach to maintenance asset and operational cost planning. Process Safety and Environmental Protection, 162, 987-997.</w:t>
      </w:r>
    </w:p>
    <w:p w14:paraId="7B2A16A1">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Taiwo, R, Ben Seghier, M E A, Zayed, T (2023). Toward sustainable water infrastructure: The state-of-the-art for modeling the failure probability of water pipes. Water Resources Research, 59(4), e2022WR033256.</w:t>
      </w:r>
    </w:p>
    <w:p w14:paraId="7979472E">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Taormina, R, Galelli, S, Tippenhauer, N O, Salomons, E, Ostfeld, A, Eliades, D G, Ohar, Z (2018). Battle of the attack detection algorithms: Disclosing cyber attacks on water distribution networks. Journal of Water Resources Planning and Management, 144(8): 04018048.</w:t>
      </w:r>
    </w:p>
    <w:p w14:paraId="10DE3BE1">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Walski, T M, Brill, E D, Gessler, J, Goulter, I C, Jeppson, R M, Lansey, K, Ormsbee, L (1987). Battle of the network models: Epilogue. Journal of Water Resources Planning and Management, 113(2): 191-203.</w:t>
      </w:r>
    </w:p>
    <w:p w14:paraId="529B844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Walski, T M, Chase, D V, Savic, D A, Grayman, W, Beckwith, S, Koelle, E (2003). Advanced Water Distribution Modeling and Management. Haestad Methods, Waterbury, CT, USA.</w:t>
      </w:r>
    </w:p>
    <w:p w14:paraId="1020F0B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Wang, B, Shen, C (2023). A time-varying observer-based approach to equilibrium estimation and compensation for synchronization of heterogeneous nonlinear cyber-physical systems. IEEE Transactions on Automatic Control, 68(10): 6176-6183.</w:t>
      </w:r>
    </w:p>
    <w:p w14:paraId="4CED72B7">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Wardropper, C, Brookfield, A (2022). Decision-support systems for water management. Journal of Hydrology, 610, 127928.</w:t>
      </w:r>
    </w:p>
    <w:p w14:paraId="2ADFA99B">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World Health Organization (WHO) (2022). Guidelines for Drinking-Water Quality: Fourth Edition Incorporating the First and Second Addenda. World Health Organization, Geneva, Switzerland.</w:t>
      </w:r>
    </w:p>
    <w:p w14:paraId="2892B16D">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Wu, G, Li, Z S (2021). Cyber-Physical Power System (CPPS): A review on measures and optimization methods of system resilience. Frontiers of Engineering Management, 8(4): 503-518.</w:t>
      </w:r>
    </w:p>
    <w:p w14:paraId="159103C0">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Xu, W, Zhou, X, Xin, K, Boxall, J, Yan, H, Tao, T (2020). Disturbance extraction for burst detection in water distribution networks using pressure measurements. Water Resources Research, 56(5), e2019WR025526.</w:t>
      </w:r>
    </w:p>
    <w:p w14:paraId="58BEAEC2">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Yadav, G, Paul, K (2021). Architecture and security of SCADA systems: A review. International Journal of Critical Infrastructure Protection, 34, 100433.</w:t>
      </w:r>
    </w:p>
    <w:p w14:paraId="3CB6C9CB">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Zhang, C, Chen, R, Wang, S, Dui, H, Zhang, Y (2022). Resilience efficiency importance measure for the selection of a component maintenance strategy to improve system performance recovery. Reliability Engineering &amp; System Safety, 217, 108070.</w:t>
      </w:r>
    </w:p>
    <w:p w14:paraId="01EC5B1E">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Zhang, J, Qiu, W, Wang, Q, Yao, T, Hu, C, Liu, Y (2024). Extreme water level of surge chamber in hydropower plant under combined operating conditions. Chaos, Solitons &amp; Fractals, 178, 114362.</w:t>
      </w:r>
    </w:p>
    <w:p w14:paraId="2245803E">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Zhang, Y, Yin, H, Liu, M, Kong, F, Xu, J (2025). Evaluating the effectiveness of environmental sustainability indicators in optimizing green-grey infrastructure for sustainable stormwater management. Water Research, 272, 122932.</w:t>
      </w:r>
    </w:p>
    <w:p w14:paraId="1A21D365">
      <w:pPr>
        <w:jc w:val="both"/>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Zou, X Y, Peng, X Y, Zhao, X X, Chang, C P (2023). The impact of extreme weather events on water quality: International evidence. Natural Hazards, 115(1): 1-21.</w:t>
      </w:r>
    </w:p>
    <w:p w14:paraId="3A79D024">
      <w:pPr>
        <w:jc w:val="both"/>
        <w:rPr>
          <w:rFonts w:hint="default" w:ascii="Times New Roman" w:hAnsi="Times New Roman" w:cs="Times New Roman"/>
          <w:sz w:val="24"/>
          <w:szCs w:val="24"/>
          <w:lang w:val="en-US" w:eastAsia="zh-CN"/>
        </w:rPr>
      </w:pPr>
    </w:p>
    <w:p w14:paraId="54AD43E2">
      <w:pPr>
        <w:jc w:val="both"/>
        <w:rPr>
          <w:rFonts w:hint="default" w:ascii="Times New Roman" w:hAnsi="Times New Roman" w:cs="Times New Roman"/>
          <w:sz w:val="24"/>
          <w:szCs w:val="24"/>
          <w:lang w:val="en-US" w:eastAsia="zh-CN"/>
        </w:rPr>
      </w:pPr>
    </w:p>
    <w:p w14:paraId="2BA3DECD">
      <w:pPr>
        <w:jc w:val="both"/>
        <w:rPr>
          <w:rFonts w:hint="default" w:ascii="Times New Roman" w:hAnsi="Times New Roman" w:cs="Times New Roman"/>
          <w:sz w:val="24"/>
          <w:szCs w:val="24"/>
          <w:lang w:val="en-US" w:eastAsia="zh-CN"/>
        </w:rPr>
      </w:pPr>
    </w:p>
    <w:p w14:paraId="2573DB82">
      <w:pPr>
        <w:jc w:val="both"/>
        <w:rPr>
          <w:rFonts w:hint="default" w:ascii="Times New Roman" w:hAnsi="Times New Roman" w:cs="Times New Roman"/>
          <w:sz w:val="24"/>
          <w:szCs w:val="24"/>
          <w:lang w:val="en-US" w:eastAsia="zh-CN"/>
        </w:rPr>
      </w:pPr>
    </w:p>
    <w:p w14:paraId="4F7CBCB5">
      <w:pPr>
        <w:jc w:val="both"/>
        <w:rPr>
          <w:rFonts w:hint="default" w:ascii="Times New Roman" w:hAnsi="Times New Roman" w:cs="Times New Roman"/>
          <w:sz w:val="24"/>
          <w:szCs w:val="24"/>
          <w:lang w:val="en-US" w:eastAsia="zh-CN"/>
        </w:rPr>
      </w:pPr>
    </w:p>
    <w:p w14:paraId="2852B8FA">
      <w:pPr>
        <w:jc w:val="both"/>
        <w:rPr>
          <w:rFonts w:hint="default" w:ascii="Times New Roman" w:hAnsi="Times New Roman" w:cs="Times New Roman"/>
          <w:sz w:val="24"/>
          <w:szCs w:val="24"/>
          <w:lang w:val="en-US" w:eastAsia="zh-CN"/>
        </w:rPr>
      </w:pPr>
    </w:p>
    <w:p w14:paraId="01FEF5AE">
      <w:pPr>
        <w:jc w:val="both"/>
        <w:rPr>
          <w:rFonts w:hint="default" w:ascii="Times New Roman" w:hAnsi="Times New Roman" w:cs="Times New Roman"/>
          <w:sz w:val="24"/>
          <w:szCs w:val="24"/>
          <w:lang w:val="en-US" w:eastAsia="zh-CN"/>
        </w:rPr>
      </w:pPr>
    </w:p>
    <w:p w14:paraId="668B6A6B">
      <w:pPr>
        <w:jc w:val="both"/>
        <w:rPr>
          <w:rFonts w:hint="default" w:ascii="Times New Roman" w:hAnsi="Times New Roman" w:cs="Times New Roman"/>
          <w:sz w:val="24"/>
          <w:szCs w:val="24"/>
          <w:lang w:val="en-US" w:eastAsia="zh-CN"/>
        </w:rPr>
      </w:pPr>
    </w:p>
    <w:p w14:paraId="0DB24637">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30023E9A">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2E9BD20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2EF5244D">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098CF49F">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3B7D625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6AAB49CD">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03044F97">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57B9EC1F">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71F1D2C0">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4576F5FD">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4078F64A">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6F353A4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highlight w:val="none"/>
          <w:lang w:val="en-US" w:eastAsia="zh-CN" w:bidi="ar-SA"/>
        </w:rPr>
      </w:pPr>
      <w:r>
        <w:rPr>
          <w:rFonts w:hint="eastAsia" w:ascii="Georgia" w:hAnsi="Georgia" w:eastAsia="等线" w:cs="Times New Roman"/>
          <w:b/>
          <w:bCs/>
          <w:i/>
          <w:iCs/>
          <w:sz w:val="24"/>
          <w:szCs w:val="24"/>
          <w:lang w:val="en-US" w:eastAsia="zh-CN"/>
        </w:rPr>
        <w:t xml:space="preserve">Part 2: </w:t>
      </w:r>
      <w:r>
        <w:rPr>
          <w:rFonts w:hint="default" w:ascii="Georgia" w:hAnsi="Georgia" w:eastAsia="等线" w:cs="Times New Roman"/>
          <w:b/>
          <w:bCs/>
          <w:i/>
          <w:iCs/>
          <w:kern w:val="2"/>
          <w:sz w:val="24"/>
          <w:szCs w:val="24"/>
          <w:highlight w:val="none"/>
          <w:lang w:val="en-US" w:eastAsia="zh-CN" w:bidi="ar-SA"/>
        </w:rPr>
        <w:t xml:space="preserve">Reply to Reviewer </w:t>
      </w:r>
      <w:r>
        <w:rPr>
          <w:rFonts w:hint="eastAsia" w:ascii="Georgia" w:hAnsi="Georgia" w:eastAsia="等线" w:cs="Times New Roman"/>
          <w:b/>
          <w:bCs/>
          <w:i/>
          <w:iCs/>
          <w:kern w:val="2"/>
          <w:sz w:val="24"/>
          <w:szCs w:val="24"/>
          <w:highlight w:val="none"/>
          <w:lang w:val="en-US" w:eastAsia="zh-CN" w:bidi="ar-SA"/>
        </w:rPr>
        <w:t>#</w:t>
      </w:r>
      <w:r>
        <w:rPr>
          <w:rFonts w:hint="default" w:ascii="Georgia" w:hAnsi="Georgia" w:eastAsia="等线" w:cs="Times New Roman"/>
          <w:b/>
          <w:bCs/>
          <w:i/>
          <w:iCs/>
          <w:kern w:val="2"/>
          <w:sz w:val="24"/>
          <w:szCs w:val="24"/>
          <w:highlight w:val="none"/>
          <w:lang w:val="en-US" w:eastAsia="zh-CN" w:bidi="ar-SA"/>
        </w:rPr>
        <w:t>2</w:t>
      </w:r>
    </w:p>
    <w:p w14:paraId="586E67FF">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We sincerely thank Reviewer for the insightful, rigorous, and constructive comments regarding operational intervention definitions, comparative experimental control, performance metric formulation, model scope, and sensitivity analysis. These comments have fundamentally strengthened the methodological rigor and clarity of our manuscript. Below is our point-by-point response and details of manuscript revisions, including complete revised manuscript text blocks with synchronized in-text citations.</w:t>
      </w:r>
    </w:p>
    <w:p w14:paraId="35796B66">
      <w:pPr>
        <w:widowControl w:val="0"/>
        <w:ind w:leftChars="0"/>
        <w:jc w:val="both"/>
        <w:rPr>
          <w:rFonts w:hint="default" w:ascii="Times New Roman" w:hAnsi="Times New Roman" w:cs="Times New Roman" w:eastAsiaTheme="minorEastAsia"/>
          <w:kern w:val="2"/>
          <w:sz w:val="24"/>
          <w:szCs w:val="24"/>
          <w:lang w:val="en-US" w:eastAsia="zh-CN" w:bidi="ar-SA"/>
        </w:rPr>
      </w:pPr>
    </w:p>
    <w:p w14:paraId="2F7466B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r>
        <w:rPr>
          <w:rFonts w:hint="default" w:ascii="Georgia" w:hAnsi="Georgia" w:eastAsia="等线" w:cs="Times New Roman"/>
          <w:b/>
          <w:bCs/>
          <w:i/>
          <w:iCs/>
          <w:kern w:val="2"/>
          <w:sz w:val="24"/>
          <w:szCs w:val="24"/>
          <w:lang w:val="en-US" w:eastAsia="zh-CN" w:bidi="ar-SA"/>
        </w:rPr>
        <w:t>Comment 1 - Early Warning Mechanism (EWM) as an Operational Intervention</w:t>
      </w:r>
    </w:p>
    <w:p w14:paraId="16125445">
      <w:pPr>
        <w:jc w:val="both"/>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Reviewer Comment:</w:t>
      </w:r>
    </w:p>
    <w:p w14:paraId="43E15A3C">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The early warning mechanism is not clearly specified as an operational intervention. Sections 2.2–2.4 mainly describe sensing, monitoring, risk classification, and the recording of state transitions. However, it is not clear what concrete action is taken once the system enters the Warning, Alert, or Critical state. Since the source interruption scenario states that the reservoir supply is lost and the tanks receive no replenishment during 24–48 h, the reported increase in RI from 0.22 to 0.84 and the higher maintained pressure cannot be explained by warning signals alone.</w:t>
      </w:r>
    </w:p>
    <w:p w14:paraId="307D0B79">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17060B58">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p>
    <w:p w14:paraId="315C59B5">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We fully agree with the reviewer that the original text lacked clarity regarding the physical action triggered by the early warning system. We clarify that early warning in our model is not merely a passive alarm or status recorder; it triggers a concrete, operational graded emergency demand-management intervention. Specifically, when water tank levels cross designated risk thresholds during a confirmed source interruption (pump outage), the cyber-physical control logic executes a graded curtailment of nodal water demands across the network:</w:t>
      </w:r>
    </w:p>
    <w:p w14:paraId="6989F423">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 </w:t>
      </w:r>
      <w:r>
        <w:rPr>
          <w:rFonts w:hint="default" w:ascii="Times New Roman" w:hAnsi="Times New Roman" w:cs="Times New Roman" w:eastAsiaTheme="minorEastAsia"/>
          <w:kern w:val="2"/>
          <w:sz w:val="24"/>
          <w:szCs w:val="24"/>
          <w:lang w:val="en-US" w:eastAsia="zh-CN" w:bidi="ar-SA"/>
        </w:rPr>
        <w:t>WARNING State (H&lt;5.0m): Nodal demand is reduced to 70% of nominal baseline (γ=0.70).</w:t>
      </w:r>
    </w:p>
    <w:p w14:paraId="3655A0C4">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 </w:t>
      </w:r>
      <w:r>
        <w:rPr>
          <w:rFonts w:hint="default" w:ascii="Times New Roman" w:hAnsi="Times New Roman" w:cs="Times New Roman" w:eastAsiaTheme="minorEastAsia"/>
          <w:kern w:val="2"/>
          <w:sz w:val="24"/>
          <w:szCs w:val="24"/>
          <w:lang w:val="en-US" w:eastAsia="zh-CN" w:bidi="ar-SA"/>
        </w:rPr>
        <w:t>ALERT State (H&lt;4.0m): Nodal demand is reduced to 40% of nominal baseline (γ=0.40).</w:t>
      </w:r>
    </w:p>
    <w:p w14:paraId="1FFEF634">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3. </w:t>
      </w:r>
      <w:r>
        <w:rPr>
          <w:rFonts w:hint="default" w:ascii="Times New Roman" w:hAnsi="Times New Roman" w:cs="Times New Roman" w:eastAsiaTheme="minorEastAsia"/>
          <w:kern w:val="2"/>
          <w:sz w:val="24"/>
          <w:szCs w:val="24"/>
          <w:lang w:val="en-US" w:eastAsia="zh-CN" w:bidi="ar-SA"/>
        </w:rPr>
        <w:t>CRITICAL State (H&lt;2.0m): Nodal demand is reduced to 20% of nominal baseline (γ=0.20).</w:t>
      </w:r>
    </w:p>
    <w:p w14:paraId="3E7F2D65">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This intervention reflects standard municipal water emergency pre-plans (e.g., pressure reduction, non-essential water restriction, and load shedding). The improvement in resilience is achieved by intentionally sacrificing non-critical demand in graded steps to slow down tank depletion, thereby maintaining core pipe head above minimum pressure thresholds. Furthermore, the mechanism incorporates a ratchet rule (preventing rapid state oscillation during transient fluctuations) and an automatic reset (restoring 100% demand once the 24-h fault ends at t=48h).</w:t>
      </w:r>
    </w:p>
    <w:p w14:paraId="72A9295F">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kern w:val="2"/>
          <w:sz w:val="24"/>
          <w:szCs w:val="24"/>
          <w:lang w:val="en-US" w:eastAsia="zh-CN" w:bidi="ar-SA"/>
        </w:rPr>
      </w:pPr>
    </w:p>
    <w:p w14:paraId="6ECF3528">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等线" w:cs="Times New Roman"/>
          <w:b/>
          <w:bCs/>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Changes in Manuscript:</w:t>
      </w:r>
    </w:p>
    <w:p w14:paraId="7EA7017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In Section 2.</w:t>
      </w:r>
      <w:r>
        <w:rPr>
          <w:rFonts w:hint="eastAsia" w:ascii="Times New Roman" w:hAnsi="Times New Roman" w:cs="Times New Roman"/>
          <w:i/>
          <w:iCs/>
          <w:kern w:val="2"/>
          <w:sz w:val="24"/>
          <w:szCs w:val="24"/>
          <w:lang w:val="en-US" w:eastAsia="zh-CN" w:bidi="ar-SA"/>
        </w:rPr>
        <w:t>3</w:t>
      </w:r>
      <w:r>
        <w:rPr>
          <w:rFonts w:hint="default" w:ascii="Times New Roman" w:hAnsi="Times New Roman" w:cs="Times New Roman" w:eastAsiaTheme="minorEastAsia"/>
          <w:i/>
          <w:iCs/>
          <w:kern w:val="2"/>
          <w:sz w:val="24"/>
          <w:szCs w:val="24"/>
          <w:lang w:val="en-US" w:eastAsia="zh-CN" w:bidi="ar-SA"/>
        </w:rPr>
        <w:t xml:space="preserve"> (Methodology), a dedicated subsection titled </w:t>
      </w:r>
      <w:r>
        <w:rPr>
          <w:rFonts w:hint="default" w:ascii="Times New Roman" w:hAnsi="Times New Roman" w:cs="Times New Roman"/>
          <w:i/>
          <w:iCs/>
          <w:kern w:val="2"/>
          <w:sz w:val="24"/>
          <w:szCs w:val="24"/>
          <w:lang w:val="en-US" w:eastAsia="zh-CN" w:bidi="ar-SA"/>
        </w:rPr>
        <w:t>“</w:t>
      </w:r>
      <w:r>
        <w:rPr>
          <w:rFonts w:hint="default" w:ascii="Times New Roman" w:hAnsi="Times New Roman" w:cs="Times New Roman" w:eastAsiaTheme="minorEastAsia"/>
          <w:i/>
          <w:iCs/>
          <w:kern w:val="2"/>
          <w:sz w:val="24"/>
          <w:szCs w:val="24"/>
          <w:lang w:val="en-US" w:eastAsia="zh-CN" w:bidi="ar-SA"/>
        </w:rPr>
        <w:t>2.3 Cyber-Physical Early Warning Mechanism (EWM) and Graded Demand Management</w:t>
      </w:r>
      <w:r>
        <w:rPr>
          <w:rFonts w:hint="default" w:ascii="Times New Roman" w:hAnsi="Times New Roman" w:cs="Times New Roman"/>
          <w:i/>
          <w:iCs/>
          <w:kern w:val="2"/>
          <w:sz w:val="24"/>
          <w:szCs w:val="24"/>
          <w:lang w:val="en-US" w:eastAsia="zh-CN" w:bidi="ar-SA"/>
        </w:rPr>
        <w:t>”</w:t>
      </w:r>
      <w:r>
        <w:rPr>
          <w:rFonts w:hint="default" w:ascii="Times New Roman" w:hAnsi="Times New Roman" w:cs="Times New Roman" w:eastAsiaTheme="minorEastAsia"/>
          <w:i/>
          <w:iCs/>
          <w:kern w:val="2"/>
          <w:sz w:val="24"/>
          <w:szCs w:val="24"/>
          <w:lang w:val="en-US" w:eastAsia="zh-CN" w:bidi="ar-SA"/>
        </w:rPr>
        <w:t xml:space="preserve"> has been incorporated, complete with Table 2 and in-text citations:</w:t>
      </w:r>
    </w:p>
    <w:p w14:paraId="72D9F197">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2.</w:t>
      </w:r>
      <w:r>
        <w:rPr>
          <w:rFonts w:hint="eastAsia" w:ascii="Times New Roman" w:hAnsi="Times New Roman" w:cs="Times New Roman"/>
          <w:b/>
          <w:bCs/>
          <w:i/>
          <w:iCs/>
          <w:kern w:val="2"/>
          <w:sz w:val="24"/>
          <w:szCs w:val="24"/>
          <w:lang w:val="en-US" w:eastAsia="zh-CN" w:bidi="ar-SA"/>
        </w:rPr>
        <w:t>3</w:t>
      </w:r>
      <w:r>
        <w:rPr>
          <w:rFonts w:hint="default" w:ascii="Times New Roman" w:hAnsi="Times New Roman" w:cs="Times New Roman" w:eastAsiaTheme="minorEastAsia"/>
          <w:b/>
          <w:bCs/>
          <w:i/>
          <w:iCs/>
          <w:kern w:val="2"/>
          <w:sz w:val="24"/>
          <w:szCs w:val="24"/>
          <w:lang w:val="en-US" w:eastAsia="zh-CN" w:bidi="ar-SA"/>
        </w:rPr>
        <w:t xml:space="preserve"> Cyber-Physical Early Warning Mechanism (EWM) and Graded Demand Management</w:t>
      </w:r>
    </w:p>
    <w:p w14:paraId="51FFE26B">
      <w:pPr>
        <w:numPr>
          <w:ilvl w:val="0"/>
          <w:numId w:val="0"/>
        </w:numPr>
        <w:ind w:leftChars="0"/>
        <w:jc w:val="both"/>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Rather than functioning merely as a passive status logger or alarm monitor, the Cyber-Physical Early Warning Mechanism (EWM) operationalizes early risk detection into concrete, closed-loop emergency hydraulic interventions. As illustrated in the three-layer CPS architecture in Fig. 3, the system integrates three tightly coupled layers: the Cyber Sensing Layer, where SCADA sensors poll tank water levels Htank(t) and pump operational statuses Spump(t) at 300-s intervals, transmitting telemetry signals through a gateway interface to the cyber control layer; the Cyber Control Layer, where upon receiving confirmation of a water source outage (pump shutdown S_{pump} = 0 at t = 24 h), the cyber controller evaluates current tank levels against pre-established operational risk thresholds (5.0 m, 4.0 m, 2.0 m, 0.50 m), enforcing a monotonic ratchet constraint (γ_t ≤ γ_{t-1}) to prevent control chattering and issuing state-dependent demand reduction multipliers (γ ∈ {1.00, 0.70, 0.40, 0.20}); and the Physical Hydraulic Layer, where demand reduction commands are executed at distribution junctions, throttling consumer outflow, slowing tank volumetric drainage (d H_{tank} / dt = (Q_{in} - Q_{out}) / A_{tank}), keeping tank outlet pipes submerged above 0.50 m, and maintaining pipeline pressure above the 0.10 MPa (≈ 10 m) emergency threshold.</w:t>
      </w:r>
    </w:p>
    <w:p w14:paraId="702A625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eastAsia" w:ascii="Times New Roman" w:hAnsi="Times New Roman" w:cs="Times New Roman" w:eastAsiaTheme="minorEastAsia"/>
          <w:i/>
          <w:iCs/>
          <w:color w:val="auto"/>
          <w:sz w:val="20"/>
          <w:highlight w:val="none"/>
          <w:lang w:eastAsia="zh-CN"/>
        </w:rPr>
      </w:pPr>
      <m:oMathPara>
        <m:oMath>
          <m:r>
            <m:rPr/>
            <w:rPr>
              <w:rFonts w:hint="default" w:ascii="Cambria Math" w:hAnsi="Cambria Math" w:cs="Times New Roman"/>
              <w:kern w:val="2"/>
              <w:sz w:val="24"/>
              <w:szCs w:val="24"/>
              <w:lang w:val="en-US" w:eastAsia="zh-CN" w:bidi="ar-SA"/>
            </w:rPr>
            <m:t>Demand</m:t>
          </m:r>
          <m:d>
            <m:dPr>
              <m:ctrlPr>
                <w:rPr>
                  <w:rFonts w:hint="default" w:ascii="Cambria Math" w:hAnsi="Cambria Math" w:cs="Times New Roman"/>
                  <w:i/>
                  <w:iCs/>
                  <w:kern w:val="2"/>
                  <w:sz w:val="24"/>
                  <w:szCs w:val="24"/>
                  <w:lang w:val="en-US" w:eastAsia="zh-CN" w:bidi="ar-SA"/>
                </w:rPr>
              </m:ctrlPr>
            </m:dPr>
            <m:e>
              <m:r>
                <m:rPr/>
                <w:rPr>
                  <w:rFonts w:hint="default" w:ascii="Cambria Math" w:hAnsi="Cambria Math" w:cs="Times New Roman"/>
                  <w:kern w:val="2"/>
                  <w:sz w:val="24"/>
                  <w:szCs w:val="24"/>
                  <w:lang w:val="en-US" w:eastAsia="zh-CN" w:bidi="ar-SA"/>
                </w:rPr>
                <m:t>j, t</m:t>
              </m:r>
              <m:ctrlPr>
                <w:rPr>
                  <w:rFonts w:hint="default" w:ascii="Cambria Math" w:hAnsi="Cambria Math" w:cs="Times New Roman"/>
                  <w:i/>
                  <w:iCs/>
                  <w:kern w:val="2"/>
                  <w:sz w:val="24"/>
                  <w:szCs w:val="24"/>
                  <w:lang w:val="en-US" w:eastAsia="zh-CN" w:bidi="ar-SA"/>
                </w:rPr>
              </m:ctrlPr>
            </m:e>
          </m:d>
          <m:r>
            <m:rPr/>
            <w:rPr>
              <w:rFonts w:hint="default" w:ascii="Cambria Math" w:hAnsi="Cambria Math" w:cs="Cambria Math"/>
              <w:kern w:val="2"/>
              <w:sz w:val="24"/>
              <w:szCs w:val="24"/>
              <w:lang w:val="en-US" w:eastAsia="zh-CN" w:bidi="ar-SA"/>
            </w:rPr>
            <m:t>=γ</m:t>
          </m:r>
          <m:d>
            <m:dPr>
              <m:ctrlPr>
                <w:rPr>
                  <w:rFonts w:hint="default" w:ascii="Cambria Math" w:hAnsi="Cambria Math" w:cs="Cambria Math"/>
                  <w:b w:val="0"/>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b w:val="0"/>
                  <w:i/>
                  <w:iCs/>
                  <w:kern w:val="2"/>
                  <w:sz w:val="24"/>
                  <w:szCs w:val="24"/>
                  <w:lang w:val="en-US" w:eastAsia="zh-CN" w:bidi="ar-SA"/>
                </w:rPr>
              </m:ctrlPr>
            </m:e>
          </m:d>
          <m:r>
            <m:rPr/>
            <w:rPr>
              <w:rFonts w:hint="default" w:ascii="Cambria Math" w:hAnsi="Cambria Math" w:cs="Cambria Math"/>
              <w:kern w:val="2"/>
              <w:sz w:val="24"/>
              <w:szCs w:val="24"/>
              <w:lang w:val="en-US" w:eastAsia="zh-CN" w:bidi="ar-SA"/>
            </w:rPr>
            <m:t>∙BaseDemand</m:t>
          </m:r>
          <m:d>
            <m:dPr>
              <m:ctrlPr>
                <w:rPr>
                  <w:rFonts w:hint="default" w:ascii="Cambria Math" w:hAnsi="Cambria Math" w:cs="Cambria Math"/>
                  <w:b w:val="0"/>
                  <w:i/>
                  <w:iCs/>
                  <w:kern w:val="2"/>
                  <w:sz w:val="24"/>
                  <w:szCs w:val="24"/>
                  <w:lang w:val="en-US" w:eastAsia="zh-CN" w:bidi="ar-SA"/>
                </w:rPr>
              </m:ctrlPr>
            </m:dPr>
            <m:e>
              <m:r>
                <m:rPr/>
                <w:rPr>
                  <w:rFonts w:hint="default" w:ascii="Cambria Math" w:hAnsi="Cambria Math" w:cs="Cambria Math"/>
                  <w:kern w:val="2"/>
                  <w:sz w:val="24"/>
                  <w:szCs w:val="24"/>
                  <w:lang w:val="en-US" w:eastAsia="zh-CN" w:bidi="ar-SA"/>
                </w:rPr>
                <m:t>j</m:t>
              </m:r>
              <m:ctrlPr>
                <w:rPr>
                  <w:rFonts w:hint="default" w:ascii="Cambria Math" w:hAnsi="Cambria Math" w:cs="Cambria Math"/>
                  <w:b w:val="0"/>
                  <w:i/>
                  <w:iCs/>
                  <w:kern w:val="2"/>
                  <w:sz w:val="24"/>
                  <w:szCs w:val="24"/>
                  <w:lang w:val="en-US" w:eastAsia="zh-CN" w:bidi="ar-SA"/>
                </w:rPr>
              </m:ctrlPr>
            </m:e>
          </m:d>
          <m:r>
            <m:rPr/>
            <w:rPr>
              <w:rFonts w:hint="default" w:ascii="Cambria Math" w:hAnsi="Cambria Math" w:cs="Cambria Math"/>
              <w:kern w:val="2"/>
              <w:sz w:val="24"/>
              <w:szCs w:val="24"/>
              <w:lang w:val="en-US" w:eastAsia="zh-CN" w:bidi="ar-SA"/>
            </w:rPr>
            <m:t>∙pattern</m:t>
          </m:r>
          <m:d>
            <m:dPr>
              <m:ctrlPr>
                <w:rPr>
                  <w:rFonts w:hint="default" w:ascii="Cambria Math" w:hAnsi="Cambria Math" w:cs="Cambria Math"/>
                  <w:b w:val="0"/>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b w:val="0"/>
                  <w:i/>
                  <w:iCs/>
                  <w:kern w:val="2"/>
                  <w:sz w:val="24"/>
                  <w:szCs w:val="24"/>
                  <w:lang w:val="en-US" w:eastAsia="zh-CN" w:bidi="ar-SA"/>
                </w:rPr>
              </m:ctrlPr>
            </m:e>
          </m:d>
        </m:oMath>
      </m:oMathPara>
    </w:p>
    <w:p w14:paraId="18F9D280">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i/>
          <w:iCs/>
          <w:color w:val="auto"/>
          <w:sz w:val="20"/>
          <w:highlight w:val="none"/>
          <w:lang w:val="en-US" w:eastAsia="zh-CN"/>
        </w:rPr>
      </w:pPr>
      <w:r>
        <w:rPr>
          <w:rFonts w:hint="eastAsia" w:ascii="Times New Roman" w:hAnsi="Times New Roman" w:cs="Times New Roman" w:eastAsiaTheme="minorEastAsia"/>
          <w:b/>
          <w:bCs/>
          <w:color w:val="auto"/>
          <w:highlight w:val="none"/>
          <w:lang w:eastAsia="zh-CN"/>
        </w:rPr>
        <w:drawing>
          <wp:inline distT="0" distB="0" distL="114300" distR="114300">
            <wp:extent cx="5270500" cy="4687570"/>
            <wp:effectExtent l="0" t="0" r="0" b="11430"/>
            <wp:docPr id="11" name="图片 11"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 3"/>
                    <pic:cNvPicPr>
                      <a:picLocks noChangeAspect="1"/>
                    </pic:cNvPicPr>
                  </pic:nvPicPr>
                  <pic:blipFill>
                    <a:blip r:embed="rId4"/>
                    <a:stretch>
                      <a:fillRect/>
                    </a:stretch>
                  </pic:blipFill>
                  <pic:spPr>
                    <a:xfrm>
                      <a:off x="0" y="0"/>
                      <a:ext cx="5270500" cy="4687570"/>
                    </a:xfrm>
                    <a:prstGeom prst="rect">
                      <a:avLst/>
                    </a:prstGeom>
                  </pic:spPr>
                </pic:pic>
              </a:graphicData>
            </a:graphic>
          </wp:inline>
        </w:drawing>
      </w:r>
    </w:p>
    <w:p w14:paraId="10341899">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bCs/>
          <w:i/>
          <w:iCs/>
          <w:sz w:val="20"/>
          <w:szCs w:val="20"/>
          <w:lang w:val="en-US" w:eastAsia="zh-CN"/>
        </w:rPr>
      </w:pPr>
      <w:r>
        <w:rPr>
          <w:rFonts w:hint="default" w:ascii="Times New Roman" w:hAnsi="Times New Roman" w:cs="Times New Roman"/>
          <w:b/>
          <w:bCs/>
          <w:i/>
          <w:iCs/>
          <w:sz w:val="20"/>
          <w:szCs w:val="20"/>
          <w:lang w:val="en-US" w:eastAsia="zh-CN"/>
        </w:rPr>
        <w:t>Fig. 3. Three-layer Cyber-Physical System (CPS) architecture illustrating closed-loop interaction among Sensing, Control, and Physical Hydraulic layers.</w:t>
      </w:r>
    </w:p>
    <w:p w14:paraId="36AA9777">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i/>
          <w:iCs/>
          <w:sz w:val="20"/>
          <w:szCs w:val="20"/>
          <w:lang w:val="en-US" w:eastAsia="zh-CN"/>
        </w:rPr>
      </w:pPr>
    </w:p>
    <w:p w14:paraId="48DA91D6">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bCs/>
          <w:i/>
          <w:iCs/>
          <w:sz w:val="20"/>
          <w:szCs w:val="20"/>
          <w:lang w:val="en-US" w:eastAsia="zh-CN"/>
        </w:rPr>
      </w:pPr>
      <w:r>
        <w:rPr>
          <w:rFonts w:hint="default" w:ascii="Times New Roman" w:hAnsi="Times New Roman" w:cs="Times New Roman"/>
          <w:b/>
          <w:bCs/>
          <w:i/>
          <w:iCs/>
          <w:sz w:val="20"/>
          <w:szCs w:val="20"/>
          <w:lang w:val="en-US" w:eastAsia="zh-CN"/>
        </w:rPr>
        <w:t>Table 2: Operational trigger logic and demand management actions of EWM</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2"/>
        <w:gridCol w:w="1477"/>
        <w:gridCol w:w="1412"/>
        <w:gridCol w:w="1342"/>
        <w:gridCol w:w="2959"/>
      </w:tblGrid>
      <w:tr w14:paraId="280E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12" w:space="0"/>
              <w:left w:val="nil"/>
              <w:bottom w:val="single" w:color="000000" w:sz="4" w:space="0"/>
              <w:right w:val="nil"/>
              <w:tl2br w:val="nil"/>
            </w:tcBorders>
            <w:shd w:val="clear" w:color="auto" w:fill="FFFFFF"/>
          </w:tcPr>
          <w:p w14:paraId="1F8F934D">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Risk State</w:t>
            </w:r>
          </w:p>
        </w:tc>
        <w:tc>
          <w:tcPr>
            <w:tcW w:w="0" w:type="auto"/>
            <w:tcBorders>
              <w:top w:val="single" w:color="000000" w:sz="12" w:space="0"/>
              <w:left w:val="nil"/>
              <w:bottom w:val="single" w:color="000000" w:sz="4" w:space="0"/>
              <w:right w:val="nil"/>
            </w:tcBorders>
            <w:shd w:val="clear" w:color="auto" w:fill="FFFFFF"/>
          </w:tcPr>
          <w:p w14:paraId="667A20C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 xml:space="preserve">Tank Level Threshold </w:t>
            </w:r>
            <m:oMath>
              <m:d>
                <m:dPr>
                  <m:ctrlPr>
                    <w:rPr>
                      <w:rFonts w:hint="default" w:ascii="Cambria Math" w:hAnsi="Cambria Math" w:cs="Times New Roman"/>
                      <w:b/>
                      <w:bCs w:val="0"/>
                      <w:i/>
                      <w:iCs/>
                      <w:color w:val="000000"/>
                      <w:sz w:val="20"/>
                      <w:szCs w:val="20"/>
                      <w:vertAlign w:val="baseline"/>
                      <w:lang w:val="en-US"/>
                    </w:rPr>
                  </m:ctrlPr>
                </m:dPr>
                <m:e>
                  <m:sSub>
                    <m:sSubPr>
                      <m:ctrlPr>
                        <w:rPr>
                          <w:rFonts w:hint="default" w:ascii="Cambria Math" w:hAnsi="Cambria Math" w:cs="Times New Roman"/>
                          <w:b/>
                          <w:bCs w:val="0"/>
                          <w:i/>
                          <w:iCs/>
                          <w:color w:val="000000"/>
                          <w:sz w:val="20"/>
                          <w:szCs w:val="20"/>
                          <w:vertAlign w:val="baseline"/>
                          <w:lang w:val="en-US"/>
                        </w:rPr>
                      </m:ctrlPr>
                    </m:sSubPr>
                    <m:e>
                      <m:r>
                        <m:rPr>
                          <m:nor/>
                          <m:sty m:val="bi"/>
                        </m:rPr>
                        <w:rPr>
                          <w:rFonts w:hint="default" w:ascii="Times New Roman" w:hAnsi="Times New Roman" w:cs="Times New Roman"/>
                          <w:b/>
                          <w:bCs w:val="0"/>
                          <w:i/>
                          <w:iCs/>
                          <w:color w:val="000000"/>
                          <w:sz w:val="20"/>
                          <w:szCs w:val="20"/>
                          <w:vertAlign w:val="baseline"/>
                          <w:lang w:val="en-US" w:eastAsia="zh-CN"/>
                        </w:rPr>
                        <m:t>H</m:t>
                      </m:r>
                      <m:ctrlPr>
                        <w:rPr>
                          <w:rFonts w:hint="default" w:ascii="Cambria Math" w:hAnsi="Cambria Math" w:cs="Times New Roman"/>
                          <w:b/>
                          <w:bCs w:val="0"/>
                          <w:i/>
                          <w:iCs/>
                          <w:color w:val="000000"/>
                          <w:sz w:val="20"/>
                          <w:szCs w:val="20"/>
                          <w:vertAlign w:val="baseline"/>
                          <w:lang w:val="en-US"/>
                        </w:rPr>
                      </m:ctrlPr>
                    </m:e>
                    <m:sub>
                      <m:r>
                        <m:rPr>
                          <m:nor/>
                          <m:sty m:val="bi"/>
                        </m:rPr>
                        <w:rPr>
                          <w:rFonts w:hint="default" w:ascii="Times New Roman" w:hAnsi="Times New Roman" w:cs="Times New Roman"/>
                          <w:b/>
                          <w:bCs w:val="0"/>
                          <w:i/>
                          <w:iCs/>
                          <w:color w:val="000000"/>
                          <w:sz w:val="20"/>
                          <w:szCs w:val="20"/>
                          <w:vertAlign w:val="baseline"/>
                          <w:lang w:val="en-US" w:eastAsia="zh-CN"/>
                        </w:rPr>
                        <m:t>tank</m:t>
                      </m:r>
                      <m:ctrlPr>
                        <w:rPr>
                          <w:rFonts w:hint="default" w:ascii="Cambria Math" w:hAnsi="Cambria Math" w:cs="Times New Roman"/>
                          <w:b/>
                          <w:bCs w:val="0"/>
                          <w:i/>
                          <w:iCs/>
                          <w:color w:val="000000"/>
                          <w:sz w:val="20"/>
                          <w:szCs w:val="20"/>
                          <w:vertAlign w:val="baseline"/>
                          <w:lang w:val="en-US"/>
                        </w:rPr>
                      </m:ctrlPr>
                    </m:sub>
                  </m:sSub>
                  <m:ctrlPr>
                    <w:rPr>
                      <w:rFonts w:hint="default" w:ascii="Cambria Math" w:hAnsi="Cambria Math" w:cs="Times New Roman"/>
                      <w:b/>
                      <w:bCs w:val="0"/>
                      <w:i/>
                      <w:iCs/>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6115273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 xml:space="preserve">Pump Status </w:t>
            </w:r>
            <m:oMath>
              <m:d>
                <m:dPr>
                  <m:ctrlPr>
                    <w:rPr>
                      <w:rFonts w:hint="default" w:ascii="Cambria Math" w:hAnsi="Cambria Math" w:cs="Times New Roman"/>
                      <w:b/>
                      <w:bCs w:val="0"/>
                      <w:i/>
                      <w:iCs/>
                      <w:color w:val="000000"/>
                      <w:sz w:val="20"/>
                      <w:szCs w:val="20"/>
                      <w:vertAlign w:val="baseline"/>
                      <w:lang w:val="en-US"/>
                    </w:rPr>
                  </m:ctrlPr>
                </m:dPr>
                <m:e>
                  <m:sSub>
                    <m:sSubPr>
                      <m:ctrlPr>
                        <w:rPr>
                          <w:rFonts w:hint="default" w:ascii="Cambria Math" w:hAnsi="Cambria Math" w:cs="Times New Roman"/>
                          <w:b/>
                          <w:bCs w:val="0"/>
                          <w:i/>
                          <w:iCs/>
                          <w:color w:val="000000"/>
                          <w:sz w:val="20"/>
                          <w:szCs w:val="20"/>
                          <w:vertAlign w:val="baseline"/>
                          <w:lang w:val="en-US"/>
                        </w:rPr>
                      </m:ctrlPr>
                    </m:sSubPr>
                    <m:e>
                      <m:r>
                        <m:rPr>
                          <m:nor/>
                          <m:sty m:val="bi"/>
                        </m:rPr>
                        <w:rPr>
                          <w:rFonts w:hint="default" w:ascii="Times New Roman" w:hAnsi="Times New Roman" w:cs="Times New Roman"/>
                          <w:b/>
                          <w:bCs w:val="0"/>
                          <w:i/>
                          <w:iCs/>
                          <w:color w:val="000000"/>
                          <w:sz w:val="20"/>
                          <w:szCs w:val="20"/>
                          <w:vertAlign w:val="baseline"/>
                          <w:lang w:val="en-US" w:eastAsia="zh-CN"/>
                        </w:rPr>
                        <m:t>S</m:t>
                      </m:r>
                      <m:ctrlPr>
                        <w:rPr>
                          <w:rFonts w:hint="default" w:ascii="Cambria Math" w:hAnsi="Cambria Math" w:cs="Times New Roman"/>
                          <w:b/>
                          <w:bCs w:val="0"/>
                          <w:i/>
                          <w:iCs/>
                          <w:color w:val="000000"/>
                          <w:sz w:val="20"/>
                          <w:szCs w:val="20"/>
                          <w:vertAlign w:val="baseline"/>
                          <w:lang w:val="en-US"/>
                        </w:rPr>
                      </m:ctrlPr>
                    </m:e>
                    <m:sub>
                      <m:r>
                        <m:rPr>
                          <m:nor/>
                          <m:sty m:val="bi"/>
                        </m:rPr>
                        <w:rPr>
                          <w:rFonts w:hint="default" w:ascii="Times New Roman" w:hAnsi="Times New Roman" w:cs="Times New Roman"/>
                          <w:b/>
                          <w:bCs w:val="0"/>
                          <w:i/>
                          <w:iCs/>
                          <w:color w:val="000000"/>
                          <w:sz w:val="20"/>
                          <w:szCs w:val="20"/>
                          <w:vertAlign w:val="baseline"/>
                          <w:lang w:val="en-US" w:eastAsia="zh-CN"/>
                        </w:rPr>
                        <m:t>pump</m:t>
                      </m:r>
                      <m:ctrlPr>
                        <w:rPr>
                          <w:rFonts w:hint="default" w:ascii="Cambria Math" w:hAnsi="Cambria Math" w:cs="Times New Roman"/>
                          <w:b/>
                          <w:bCs w:val="0"/>
                          <w:i/>
                          <w:iCs/>
                          <w:color w:val="000000"/>
                          <w:sz w:val="20"/>
                          <w:szCs w:val="20"/>
                          <w:vertAlign w:val="baseline"/>
                          <w:lang w:val="en-US"/>
                        </w:rPr>
                      </m:ctrlPr>
                    </m:sub>
                  </m:sSub>
                  <m:ctrlPr>
                    <w:rPr>
                      <w:rFonts w:hint="default" w:ascii="Cambria Math" w:hAnsi="Cambria Math" w:cs="Times New Roman"/>
                      <w:b/>
                      <w:bCs w:val="0"/>
                      <w:i/>
                      <w:iCs/>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3E01EDB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 xml:space="preserve">Demand Multiplier </w:t>
            </w:r>
            <m:oMath>
              <m:d>
                <m:dPr>
                  <m:ctrlPr>
                    <w:rPr>
                      <w:rFonts w:hint="default" w:ascii="Cambria Math" w:hAnsi="Cambria Math" w:cs="Times New Roman"/>
                      <w:b/>
                      <w:bCs w:val="0"/>
                      <w:i/>
                      <w:iCs/>
                      <w:color w:val="000000"/>
                      <w:sz w:val="20"/>
                      <w:szCs w:val="20"/>
                      <w:vertAlign w:val="baseline"/>
                      <w:lang w:val="en-US"/>
                    </w:rPr>
                  </m:ctrlPr>
                </m:dPr>
                <m:e>
                  <m:r>
                    <m:rPr>
                      <m:nor/>
                      <m:sty m:val="bi"/>
                    </m:rPr>
                    <w:rPr>
                      <w:rFonts w:hint="default" w:ascii="Times New Roman" w:hAnsi="Times New Roman" w:cs="Times New Roman"/>
                      <w:b/>
                      <w:bCs w:val="0"/>
                      <w:i/>
                      <w:iCs/>
                      <w:color w:val="000000"/>
                      <w:sz w:val="20"/>
                      <w:szCs w:val="20"/>
                      <w:vertAlign w:val="baseline"/>
                      <w:lang w:val="en-US"/>
                    </w:rPr>
                    <m:t>γ</m:t>
                  </m:r>
                  <m:ctrlPr>
                    <w:rPr>
                      <w:rFonts w:hint="default" w:ascii="Cambria Math" w:hAnsi="Cambria Math" w:cs="Times New Roman"/>
                      <w:b/>
                      <w:bCs w:val="0"/>
                      <w:i/>
                      <w:iCs/>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09655BE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Operational Action &amp; Hydraulic Effect</w:t>
            </w:r>
          </w:p>
        </w:tc>
      </w:tr>
      <w:tr w14:paraId="7DEF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1025A1C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NORMAL</w:t>
            </w:r>
          </w:p>
        </w:tc>
        <w:tc>
          <w:tcPr>
            <w:tcW w:w="0" w:type="auto"/>
            <w:tcBorders>
              <w:top w:val="single" w:color="000000" w:sz="4" w:space="0"/>
              <w:left w:val="nil"/>
              <w:bottom w:val="nil"/>
              <w:right w:val="nil"/>
            </w:tcBorders>
            <w:shd w:val="clear" w:color="auto" w:fill="FFFFFF"/>
          </w:tcPr>
          <w:p w14:paraId="4BCA408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eastAsiaTheme="minorEastAsia"/>
                <w:b w:val="0"/>
                <w:bCs/>
                <w:i/>
                <w:iCs/>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rPr>
                  <w:rPr>
                    <w:rFonts w:hint="default" w:ascii="Times New Roman" w:hAnsi="Times New Roman" w:cs="Times New Roman"/>
                    <w:b w:val="0"/>
                    <w:i/>
                    <w:iCs/>
                    <w:color w:val="000000"/>
                    <w:sz w:val="20"/>
                    <w:szCs w:val="20"/>
                    <w:vertAlign w:val="baseline"/>
                    <w:lang w:val="en-US"/>
                  </w:rPr>
                  <m:t>≥</m:t>
                </m:r>
                <m:r>
                  <m:rPr>
                    <m:nor/>
                  </m:rPr>
                  <w:rPr>
                    <w:rFonts w:hint="default" w:ascii="Times New Roman" w:hAnsi="Times New Roman" w:cs="Times New Roman"/>
                    <w:b w:val="0"/>
                    <w:i/>
                    <w:iCs/>
                    <w:color w:val="000000"/>
                    <w:sz w:val="20"/>
                    <w:szCs w:val="20"/>
                    <w:vertAlign w:val="baseline"/>
                    <w:lang w:val="en-US" w:eastAsia="zh-CN"/>
                  </w:rPr>
                  <m:t>5.0 m</m:t>
                </m:r>
              </m:oMath>
            </m:oMathPara>
          </w:p>
        </w:tc>
        <w:tc>
          <w:tcPr>
            <w:tcW w:w="0" w:type="auto"/>
            <w:tcBorders>
              <w:top w:val="single" w:color="000000" w:sz="4" w:space="0"/>
              <w:left w:val="nil"/>
              <w:bottom w:val="nil"/>
              <w:right w:val="nil"/>
            </w:tcBorders>
            <w:shd w:val="clear" w:color="auto" w:fill="FFFFFF"/>
          </w:tcPr>
          <w:p w14:paraId="66FA218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 xml:space="preserve">Operational </w:t>
            </w:r>
            <m:oMath>
              <m:d>
                <m:dPr>
                  <m:ctrlPr>
                    <w:rPr>
                      <w:rFonts w:hint="default" w:ascii="Cambria Math" w:hAnsi="Cambria Math" w:cs="Times New Roman"/>
                      <w:b w:val="0"/>
                      <w:bCs w:val="0"/>
                      <w:i/>
                      <w:iCs/>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rPr>
                    <w:rPr>
                      <w:rFonts w:hint="default" w:ascii="Times New Roman" w:hAnsi="Times New Roman" w:cs="Times New Roman"/>
                      <w:b w:val="0"/>
                      <w:i/>
                      <w:iCs/>
                      <w:color w:val="000000"/>
                      <w:sz w:val="20"/>
                      <w:szCs w:val="20"/>
                      <w:vertAlign w:val="baseline"/>
                      <w:lang w:val="en-US"/>
                    </w:rPr>
                    <m:t>=</m:t>
                  </m:r>
                  <m:r>
                    <m:rPr>
                      <m:nor/>
                    </m:rPr>
                    <w:rPr>
                      <w:rFonts w:hint="default" w:ascii="Times New Roman" w:hAnsi="Times New Roman" w:cs="Times New Roman"/>
                      <w:b w:val="0"/>
                      <w:i/>
                      <w:iCs/>
                      <w:color w:val="000000"/>
                      <w:sz w:val="20"/>
                      <w:szCs w:val="20"/>
                      <w:vertAlign w:val="baseline"/>
                      <w:lang w:val="en-US" w:eastAsia="zh-CN"/>
                    </w:rPr>
                    <m:t>1</m:t>
                  </m:r>
                  <m:ctrlPr>
                    <w:rPr>
                      <w:rFonts w:hint="default" w:ascii="Cambria Math" w:hAnsi="Cambria Math" w:cs="Times New Roman"/>
                      <w:b w:val="0"/>
                      <w:bCs w:val="0"/>
                      <w:i/>
                      <w:iCs/>
                      <w:color w:val="000000"/>
                      <w:sz w:val="20"/>
                      <w:szCs w:val="20"/>
                      <w:vertAlign w:val="baseline"/>
                      <w:lang w:val="en-US"/>
                    </w:rPr>
                  </m:ctrlPr>
                </m:e>
              </m:d>
            </m:oMath>
          </w:p>
        </w:tc>
        <w:tc>
          <w:tcPr>
            <w:tcW w:w="0" w:type="auto"/>
            <w:tcBorders>
              <w:top w:val="single" w:color="000000" w:sz="4" w:space="0"/>
              <w:left w:val="nil"/>
              <w:bottom w:val="nil"/>
              <w:right w:val="nil"/>
            </w:tcBorders>
            <w:shd w:val="clear" w:color="auto" w:fill="FFFFFF"/>
          </w:tcPr>
          <w:p w14:paraId="6F5A1A8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1.00</w:t>
            </w:r>
          </w:p>
        </w:tc>
        <w:tc>
          <w:tcPr>
            <w:tcW w:w="0" w:type="auto"/>
            <w:tcBorders>
              <w:top w:val="single" w:color="000000" w:sz="4" w:space="0"/>
              <w:left w:val="nil"/>
              <w:bottom w:val="nil"/>
              <w:right w:val="nil"/>
            </w:tcBorders>
            <w:shd w:val="clear" w:color="auto" w:fill="FFFFFF"/>
          </w:tcPr>
          <w:p w14:paraId="7BBA943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Standard supply; 100% nominal demand delivered.</w:t>
            </w:r>
          </w:p>
        </w:tc>
      </w:tr>
      <w:tr w14:paraId="161D4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1F560421">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WARNING</w:t>
            </w:r>
          </w:p>
        </w:tc>
        <w:tc>
          <w:tcPr>
            <w:tcW w:w="0" w:type="auto"/>
            <w:tcBorders>
              <w:top w:val="nil"/>
              <w:left w:val="nil"/>
              <w:bottom w:val="nil"/>
              <w:right w:val="nil"/>
            </w:tcBorders>
            <w:shd w:val="clear" w:color="auto" w:fill="FFFFFF"/>
          </w:tcPr>
          <w:p w14:paraId="775E438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rPr>
                  <w:rPr>
                    <w:rFonts w:hint="default" w:ascii="Times New Roman" w:hAnsi="Times New Roman" w:cs="Times New Roman"/>
                    <w:b w:val="0"/>
                    <w:i/>
                    <w:iCs/>
                    <w:color w:val="000000"/>
                    <w:sz w:val="20"/>
                    <w:szCs w:val="20"/>
                    <w:vertAlign w:val="baseline"/>
                    <w:lang w:val="en-US"/>
                  </w:rPr>
                  <m:t>&lt;</m:t>
                </m:r>
                <m:r>
                  <m:rPr>
                    <m:nor/>
                  </m:rPr>
                  <w:rPr>
                    <w:rFonts w:hint="default" w:ascii="Times New Roman" w:hAnsi="Times New Roman" w:cs="Times New Roman"/>
                    <w:b w:val="0"/>
                    <w:i/>
                    <w:iCs/>
                    <w:color w:val="000000"/>
                    <w:sz w:val="20"/>
                    <w:szCs w:val="20"/>
                    <w:vertAlign w:val="baseline"/>
                    <w:lang w:val="en-US" w:eastAsia="zh-CN"/>
                  </w:rPr>
                  <m:t>5.0 m</m:t>
                </m:r>
              </m:oMath>
            </m:oMathPara>
          </w:p>
        </w:tc>
        <w:tc>
          <w:tcPr>
            <w:tcW w:w="0" w:type="auto"/>
            <w:tcBorders>
              <w:top w:val="nil"/>
              <w:left w:val="nil"/>
              <w:bottom w:val="nil"/>
              <w:right w:val="nil"/>
            </w:tcBorders>
            <w:shd w:val="clear" w:color="auto" w:fill="FFFFFF"/>
          </w:tcPr>
          <w:p w14:paraId="1ECCDAE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 xml:space="preserve">Outage </w:t>
            </w:r>
            <m:oMath>
              <m:d>
                <m:dPr>
                  <m:ctrlPr>
                    <w:rPr>
                      <w:rFonts w:hint="default" w:ascii="Cambria Math" w:hAnsi="Cambria Math" w:cs="Times New Roman"/>
                      <w:b w:val="0"/>
                      <w:bCs w:val="0"/>
                      <w:i/>
                      <w:iCs/>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rPr>
                    <w:rPr>
                      <w:rFonts w:hint="default" w:ascii="Times New Roman" w:hAnsi="Times New Roman" w:cs="Times New Roman"/>
                      <w:b w:val="0"/>
                      <w:i/>
                      <w:iCs/>
                      <w:color w:val="000000"/>
                      <w:sz w:val="20"/>
                      <w:szCs w:val="20"/>
                      <w:vertAlign w:val="baseline"/>
                      <w:lang w:val="en-US"/>
                    </w:rPr>
                    <m:t>=</m:t>
                  </m:r>
                  <m:r>
                    <m:rPr>
                      <m:nor/>
                    </m:rPr>
                    <w:rPr>
                      <w:rFonts w:hint="default" w:ascii="Times New Roman" w:hAnsi="Times New Roman" w:cs="Times New Roman"/>
                      <w:b w:val="0"/>
                      <w:i/>
                      <w:iCs/>
                      <w:color w:val="000000"/>
                      <w:sz w:val="20"/>
                      <w:szCs w:val="20"/>
                      <w:vertAlign w:val="baseline"/>
                      <w:lang w:val="en-US" w:eastAsia="zh-CN"/>
                    </w:rPr>
                    <m:t>0</m:t>
                  </m:r>
                  <m:ctrlPr>
                    <w:rPr>
                      <w:rFonts w:hint="default" w:ascii="Cambria Math" w:hAnsi="Cambria Math" w:cs="Times New Roman"/>
                      <w:b w:val="0"/>
                      <w:bCs w:val="0"/>
                      <w:i/>
                      <w:iCs/>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71D5897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0.70</w:t>
            </w:r>
          </w:p>
        </w:tc>
        <w:tc>
          <w:tcPr>
            <w:tcW w:w="0" w:type="auto"/>
            <w:tcBorders>
              <w:top w:val="nil"/>
              <w:left w:val="nil"/>
              <w:bottom w:val="nil"/>
              <w:right w:val="nil"/>
            </w:tcBorders>
            <w:shd w:val="clear" w:color="auto" w:fill="FFFFFF"/>
          </w:tcPr>
          <w:p w14:paraId="4C37314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Level 1 curtailment; 30% non-essential demand shed; slows initial storage drawdown.</w:t>
            </w:r>
          </w:p>
        </w:tc>
      </w:tr>
      <w:tr w14:paraId="7CD5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7362486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ALERT</w:t>
            </w:r>
          </w:p>
        </w:tc>
        <w:tc>
          <w:tcPr>
            <w:tcW w:w="0" w:type="auto"/>
            <w:tcBorders>
              <w:top w:val="nil"/>
              <w:left w:val="nil"/>
              <w:bottom w:val="nil"/>
              <w:right w:val="nil"/>
            </w:tcBorders>
            <w:shd w:val="clear" w:color="auto" w:fill="FFFFFF"/>
          </w:tcPr>
          <w:p w14:paraId="1E6DBEC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rPr>
                  <w:rPr>
                    <w:rFonts w:hint="default" w:ascii="Times New Roman" w:hAnsi="Times New Roman" w:cs="Times New Roman"/>
                    <w:b w:val="0"/>
                    <w:i/>
                    <w:iCs/>
                    <w:color w:val="000000"/>
                    <w:sz w:val="20"/>
                    <w:szCs w:val="20"/>
                    <w:vertAlign w:val="baseline"/>
                    <w:lang w:val="en-US"/>
                  </w:rPr>
                  <m:t>&lt;</m:t>
                </m:r>
                <m:r>
                  <m:rPr>
                    <m:nor/>
                  </m:rPr>
                  <w:rPr>
                    <w:rFonts w:hint="default" w:ascii="Times New Roman" w:hAnsi="Times New Roman" w:cs="Times New Roman"/>
                    <w:b w:val="0"/>
                    <w:i/>
                    <w:iCs/>
                    <w:color w:val="000000"/>
                    <w:sz w:val="20"/>
                    <w:szCs w:val="20"/>
                    <w:vertAlign w:val="baseline"/>
                    <w:lang w:val="en-US" w:eastAsia="zh-CN"/>
                  </w:rPr>
                  <m:t>4.0 m</m:t>
                </m:r>
              </m:oMath>
            </m:oMathPara>
          </w:p>
        </w:tc>
        <w:tc>
          <w:tcPr>
            <w:tcW w:w="0" w:type="auto"/>
            <w:tcBorders>
              <w:top w:val="nil"/>
              <w:left w:val="nil"/>
              <w:bottom w:val="nil"/>
              <w:right w:val="nil"/>
            </w:tcBorders>
            <w:shd w:val="clear" w:color="auto" w:fill="FFFFFF"/>
          </w:tcPr>
          <w:p w14:paraId="41E2F79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 xml:space="preserve">Outage </w:t>
            </w:r>
            <m:oMath>
              <m:d>
                <m:dPr>
                  <m:ctrlPr>
                    <w:rPr>
                      <w:rFonts w:hint="default" w:ascii="Cambria Math" w:hAnsi="Cambria Math" w:cs="Times New Roman"/>
                      <w:b w:val="0"/>
                      <w:bCs w:val="0"/>
                      <w:i/>
                      <w:iCs/>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rPr>
                    <w:rPr>
                      <w:rFonts w:hint="default" w:ascii="Times New Roman" w:hAnsi="Times New Roman" w:cs="Times New Roman"/>
                      <w:b w:val="0"/>
                      <w:i/>
                      <w:iCs/>
                      <w:color w:val="000000"/>
                      <w:sz w:val="20"/>
                      <w:szCs w:val="20"/>
                      <w:vertAlign w:val="baseline"/>
                      <w:lang w:val="en-US"/>
                    </w:rPr>
                    <m:t>=</m:t>
                  </m:r>
                  <m:r>
                    <m:rPr>
                      <m:nor/>
                    </m:rPr>
                    <w:rPr>
                      <w:rFonts w:hint="default" w:ascii="Times New Roman" w:hAnsi="Times New Roman" w:cs="Times New Roman"/>
                      <w:b w:val="0"/>
                      <w:i/>
                      <w:iCs/>
                      <w:color w:val="000000"/>
                      <w:sz w:val="20"/>
                      <w:szCs w:val="20"/>
                      <w:vertAlign w:val="baseline"/>
                      <w:lang w:val="en-US" w:eastAsia="zh-CN"/>
                    </w:rPr>
                    <m:t>0</m:t>
                  </m:r>
                  <m:ctrlPr>
                    <w:rPr>
                      <w:rFonts w:hint="default" w:ascii="Cambria Math" w:hAnsi="Cambria Math" w:cs="Times New Roman"/>
                      <w:b w:val="0"/>
                      <w:bCs w:val="0"/>
                      <w:i/>
                      <w:iCs/>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52B5A96B">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0.40</w:t>
            </w:r>
          </w:p>
        </w:tc>
        <w:tc>
          <w:tcPr>
            <w:tcW w:w="0" w:type="auto"/>
            <w:tcBorders>
              <w:top w:val="nil"/>
              <w:left w:val="nil"/>
              <w:bottom w:val="nil"/>
              <w:right w:val="nil"/>
            </w:tcBorders>
            <w:shd w:val="clear" w:color="auto" w:fill="FFFFFF"/>
          </w:tcPr>
          <w:p w14:paraId="0837993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Level 2 curtailment; 60% demand shed; preserves pressure above critical supply head (0.10 MPa).</w:t>
            </w:r>
          </w:p>
        </w:tc>
      </w:tr>
      <w:tr w14:paraId="700F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5CE06D5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CRITICAL</w:t>
            </w:r>
          </w:p>
        </w:tc>
        <w:tc>
          <w:tcPr>
            <w:tcW w:w="0" w:type="auto"/>
            <w:tcBorders>
              <w:top w:val="nil"/>
              <w:left w:val="nil"/>
              <w:bottom w:val="nil"/>
              <w:right w:val="nil"/>
            </w:tcBorders>
            <w:shd w:val="clear" w:color="auto" w:fill="FFFFFF"/>
          </w:tcPr>
          <w:p w14:paraId="470BA50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rPr>
                  <w:rPr>
                    <w:rFonts w:hint="default" w:ascii="Times New Roman" w:hAnsi="Times New Roman" w:cs="Times New Roman"/>
                    <w:b w:val="0"/>
                    <w:i/>
                    <w:iCs/>
                    <w:color w:val="000000"/>
                    <w:sz w:val="20"/>
                    <w:szCs w:val="20"/>
                    <w:vertAlign w:val="baseline"/>
                    <w:lang w:val="en-US"/>
                  </w:rPr>
                  <m:t>&lt;</m:t>
                </m:r>
                <m:r>
                  <m:rPr>
                    <m:nor/>
                  </m:rPr>
                  <w:rPr>
                    <w:rFonts w:hint="default" w:ascii="Times New Roman" w:hAnsi="Times New Roman" w:cs="Times New Roman"/>
                    <w:b w:val="0"/>
                    <w:i/>
                    <w:iCs/>
                    <w:color w:val="000000"/>
                    <w:sz w:val="20"/>
                    <w:szCs w:val="20"/>
                    <w:vertAlign w:val="baseline"/>
                    <w:lang w:val="en-US" w:eastAsia="zh-CN"/>
                  </w:rPr>
                  <m:t>2.0 m</m:t>
                </m:r>
              </m:oMath>
            </m:oMathPara>
          </w:p>
        </w:tc>
        <w:tc>
          <w:tcPr>
            <w:tcW w:w="0" w:type="auto"/>
            <w:tcBorders>
              <w:top w:val="nil"/>
              <w:left w:val="nil"/>
              <w:bottom w:val="nil"/>
              <w:right w:val="nil"/>
            </w:tcBorders>
            <w:shd w:val="clear" w:color="auto" w:fill="FFFFFF"/>
          </w:tcPr>
          <w:p w14:paraId="51B2683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 xml:space="preserve">Outage </w:t>
            </w:r>
            <m:oMath>
              <m:d>
                <m:dPr>
                  <m:ctrlPr>
                    <w:rPr>
                      <w:rFonts w:hint="default" w:ascii="Cambria Math" w:hAnsi="Cambria Math" w:cs="Times New Roman"/>
                      <w:b w:val="0"/>
                      <w:bCs w:val="0"/>
                      <w:i/>
                      <w:iCs/>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rPr>
                    <w:rPr>
                      <w:rFonts w:hint="default" w:ascii="Times New Roman" w:hAnsi="Times New Roman" w:cs="Times New Roman"/>
                      <w:b w:val="0"/>
                      <w:i/>
                      <w:iCs/>
                      <w:color w:val="000000"/>
                      <w:sz w:val="20"/>
                      <w:szCs w:val="20"/>
                      <w:vertAlign w:val="baseline"/>
                      <w:lang w:val="en-US"/>
                    </w:rPr>
                    <m:t>=</m:t>
                  </m:r>
                  <m:r>
                    <m:rPr>
                      <m:nor/>
                    </m:rPr>
                    <w:rPr>
                      <w:rFonts w:hint="default" w:ascii="Times New Roman" w:hAnsi="Times New Roman" w:cs="Times New Roman"/>
                      <w:b w:val="0"/>
                      <w:i/>
                      <w:iCs/>
                      <w:color w:val="000000"/>
                      <w:sz w:val="20"/>
                      <w:szCs w:val="20"/>
                      <w:vertAlign w:val="baseline"/>
                      <w:lang w:val="en-US" w:eastAsia="zh-CN"/>
                    </w:rPr>
                    <m:t>0</m:t>
                  </m:r>
                  <m:ctrlPr>
                    <w:rPr>
                      <w:rFonts w:hint="default" w:ascii="Cambria Math" w:hAnsi="Cambria Math" w:cs="Times New Roman"/>
                      <w:b w:val="0"/>
                      <w:bCs w:val="0"/>
                      <w:i/>
                      <w:iCs/>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2E29816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0.20</w:t>
            </w:r>
          </w:p>
        </w:tc>
        <w:tc>
          <w:tcPr>
            <w:tcW w:w="0" w:type="auto"/>
            <w:tcBorders>
              <w:top w:val="nil"/>
              <w:left w:val="nil"/>
              <w:bottom w:val="nil"/>
              <w:right w:val="nil"/>
            </w:tcBorders>
            <w:shd w:val="clear" w:color="auto" w:fill="FFFFFF"/>
          </w:tcPr>
          <w:p w14:paraId="191A9D3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Level 3 curtailment; 80% demand shed; maintains minimum emergency head and prevents tank dry-out.</w:t>
            </w:r>
          </w:p>
        </w:tc>
      </w:tr>
      <w:tr w14:paraId="0FF5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33ACDFA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bCs w:val="0"/>
                <w:i/>
                <w:iCs/>
                <w:color w:val="000000"/>
                <w:sz w:val="20"/>
                <w:szCs w:val="20"/>
                <w:vertAlign w:val="baseline"/>
                <w:lang w:val="en-US" w:eastAsia="zh-CN"/>
              </w:rPr>
            </w:pPr>
            <w:r>
              <w:rPr>
                <w:rFonts w:hint="default" w:ascii="Times New Roman" w:hAnsi="Times New Roman" w:cs="Times New Roman"/>
                <w:b/>
                <w:bCs w:val="0"/>
                <w:i/>
                <w:iCs/>
                <w:color w:val="000000"/>
                <w:sz w:val="20"/>
                <w:szCs w:val="20"/>
                <w:vertAlign w:val="baseline"/>
                <w:lang w:val="en-US" w:eastAsia="zh-CN"/>
              </w:rPr>
              <w:t>OUTLET FAILURE</w:t>
            </w:r>
          </w:p>
        </w:tc>
        <w:tc>
          <w:tcPr>
            <w:tcW w:w="0" w:type="auto"/>
            <w:tcBorders>
              <w:top w:val="nil"/>
              <w:left w:val="nil"/>
              <w:bottom w:val="single" w:color="000000" w:sz="12" w:space="0"/>
              <w:right w:val="nil"/>
            </w:tcBorders>
            <w:shd w:val="clear" w:color="auto" w:fill="FFFFFF"/>
          </w:tcPr>
          <w:p w14:paraId="698019E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i/>
                <w:iCs/>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rPr>
                  <w:rPr>
                    <w:rFonts w:hint="default" w:ascii="Times New Roman" w:hAnsi="Times New Roman" w:cs="Times New Roman"/>
                    <w:b w:val="0"/>
                    <w:i/>
                    <w:iCs/>
                    <w:color w:val="000000"/>
                    <w:sz w:val="20"/>
                    <w:szCs w:val="20"/>
                    <w:vertAlign w:val="baseline"/>
                    <w:lang w:val="en-US"/>
                  </w:rPr>
                  <m:t>&lt;</m:t>
                </m:r>
                <m:r>
                  <m:rPr>
                    <m:nor/>
                  </m:rPr>
                  <w:rPr>
                    <w:rFonts w:hint="default" w:ascii="Times New Roman" w:hAnsi="Times New Roman" w:cs="Times New Roman"/>
                    <w:b w:val="0"/>
                    <w:i/>
                    <w:iCs/>
                    <w:color w:val="000000"/>
                    <w:sz w:val="20"/>
                    <w:szCs w:val="20"/>
                    <w:vertAlign w:val="baseline"/>
                    <w:lang w:val="en-US" w:eastAsia="zh-CN"/>
                  </w:rPr>
                  <m:t>0.5 m</m:t>
                </m:r>
              </m:oMath>
            </m:oMathPara>
          </w:p>
        </w:tc>
        <w:tc>
          <w:tcPr>
            <w:tcW w:w="0" w:type="auto"/>
            <w:tcBorders>
              <w:top w:val="nil"/>
              <w:left w:val="nil"/>
              <w:bottom w:val="single" w:color="000000" w:sz="12" w:space="0"/>
              <w:right w:val="nil"/>
            </w:tcBorders>
            <w:shd w:val="clear" w:color="auto" w:fill="FFFFFF"/>
          </w:tcPr>
          <w:p w14:paraId="51457B6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 xml:space="preserve">Outage </w:t>
            </w:r>
            <m:oMath>
              <m:d>
                <m:dPr>
                  <m:ctrlPr>
                    <w:rPr>
                      <w:rFonts w:hint="default" w:ascii="Cambria Math" w:hAnsi="Cambria Math" w:cs="Times New Roman"/>
                      <w:b w:val="0"/>
                      <w:bCs w:val="0"/>
                      <w:i/>
                      <w:iCs/>
                      <w:color w:val="000000"/>
                      <w:sz w:val="20"/>
                      <w:szCs w:val="20"/>
                      <w:vertAlign w:val="baseline"/>
                      <w:lang w:val="en-US"/>
                    </w:rPr>
                  </m:ctrlPr>
                </m:dPr>
                <m:e>
                  <m:r>
                    <m:rPr>
                      <m:nor/>
                    </m:rPr>
                    <w:rPr>
                      <w:rFonts w:hint="default" w:ascii="Times New Roman" w:hAnsi="Times New Roman" w:cs="Times New Roman"/>
                      <w:b w:val="0"/>
                      <w:i/>
                      <w:iCs/>
                      <w:color w:val="000000"/>
                      <w:sz w:val="20"/>
                      <w:szCs w:val="20"/>
                      <w:vertAlign w:val="baseline"/>
                      <w:lang w:val="en-US" w:eastAsia="zh-CN"/>
                    </w:rPr>
                    <m:t>S</m:t>
                  </m:r>
                  <m:r>
                    <m:rPr>
                      <m:nor/>
                    </m:rPr>
                    <w:rPr>
                      <w:rFonts w:hint="default" w:ascii="Times New Roman" w:hAnsi="Times New Roman" w:cs="Times New Roman"/>
                      <w:b w:val="0"/>
                      <w:i/>
                      <w:iCs/>
                      <w:color w:val="000000"/>
                      <w:sz w:val="20"/>
                      <w:szCs w:val="20"/>
                      <w:vertAlign w:val="baseline"/>
                      <w:lang w:val="en-US"/>
                    </w:rPr>
                    <m:t>=</m:t>
                  </m:r>
                  <m:r>
                    <m:rPr>
                      <m:nor/>
                    </m:rPr>
                    <w:rPr>
                      <w:rFonts w:hint="default" w:ascii="Times New Roman" w:hAnsi="Times New Roman" w:cs="Times New Roman"/>
                      <w:b w:val="0"/>
                      <w:i/>
                      <w:iCs/>
                      <w:color w:val="000000"/>
                      <w:sz w:val="20"/>
                      <w:szCs w:val="20"/>
                      <w:vertAlign w:val="baseline"/>
                      <w:lang w:val="en-US" w:eastAsia="zh-CN"/>
                    </w:rPr>
                    <m:t>0</m:t>
                  </m:r>
                  <m:ctrlPr>
                    <w:rPr>
                      <w:rFonts w:hint="default" w:ascii="Cambria Math" w:hAnsi="Cambria Math" w:cs="Times New Roman"/>
                      <w:b w:val="0"/>
                      <w:bCs w:val="0"/>
                      <w:i/>
                      <w:iCs/>
                      <w:color w:val="000000"/>
                      <w:sz w:val="20"/>
                      <w:szCs w:val="20"/>
                      <w:vertAlign w:val="baseline"/>
                      <w:lang w:val="en-US"/>
                    </w:rPr>
                  </m:ctrlPr>
                </m:e>
              </m:d>
            </m:oMath>
          </w:p>
        </w:tc>
        <w:tc>
          <w:tcPr>
            <w:tcW w:w="0" w:type="auto"/>
            <w:tcBorders>
              <w:top w:val="nil"/>
              <w:left w:val="nil"/>
              <w:bottom w:val="single" w:color="000000" w:sz="12" w:space="0"/>
              <w:right w:val="nil"/>
            </w:tcBorders>
            <w:shd w:val="clear" w:color="auto" w:fill="FFFFFF"/>
          </w:tcPr>
          <w:p w14:paraId="1751E3B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0.00</w:t>
            </w:r>
          </w:p>
        </w:tc>
        <w:tc>
          <w:tcPr>
            <w:tcW w:w="0" w:type="auto"/>
            <w:tcBorders>
              <w:top w:val="nil"/>
              <w:left w:val="nil"/>
              <w:bottom w:val="single" w:color="000000" w:sz="12" w:space="0"/>
              <w:right w:val="nil"/>
            </w:tcBorders>
            <w:shd w:val="clear" w:color="auto" w:fill="FFFFFF"/>
          </w:tcPr>
          <w:p w14:paraId="5328D83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cs="Times New Roman"/>
                <w:b w:val="0"/>
                <w:bCs w:val="0"/>
                <w:i/>
                <w:iCs/>
                <w:color w:val="000000"/>
                <w:sz w:val="20"/>
                <w:szCs w:val="20"/>
                <w:vertAlign w:val="baseline"/>
                <w:lang w:val="en-US" w:eastAsia="zh-CN"/>
              </w:rPr>
            </w:pPr>
            <w:r>
              <w:rPr>
                <w:rFonts w:hint="default" w:ascii="Times New Roman" w:hAnsi="Times New Roman" w:cs="Times New Roman"/>
                <w:b w:val="0"/>
                <w:bCs w:val="0"/>
                <w:i/>
                <w:iCs/>
                <w:color w:val="000000"/>
                <w:sz w:val="20"/>
                <w:szCs w:val="20"/>
                <w:vertAlign w:val="baseline"/>
                <w:lang w:val="en-US" w:eastAsia="zh-CN"/>
              </w:rPr>
              <w:t>Physical pipe closure; outlet valve shuts to prevent cavitation and air entrainment.</w:t>
            </w:r>
          </w:p>
        </w:tc>
      </w:tr>
    </w:tbl>
    <w:p w14:paraId="15A26368">
      <w:pPr>
        <w:spacing w:line="360" w:lineRule="auto"/>
        <w:rPr>
          <w:rFonts w:hint="default" w:ascii="Times New Roman" w:hAnsi="Times New Roman" w:cs="Times New Roman" w:eastAsiaTheme="minorEastAsia"/>
          <w:i/>
          <w:iCs/>
          <w:color w:val="auto"/>
          <w:sz w:val="24"/>
          <w:highlight w:val="none"/>
          <w:lang w:val="en-US" w:eastAsia="zh-CN"/>
        </w:rPr>
      </w:pPr>
    </w:p>
    <w:p w14:paraId="7EA98607">
      <w:pPr>
        <w:numPr>
          <w:ilvl w:val="0"/>
          <w:numId w:val="0"/>
        </w:numPr>
        <w:ind w:leftChars="0"/>
        <w:jc w:val="both"/>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The rationale for setting these specific water level risk thresholds (5.0 m, 4.0 m, 2.0 m, 0.50 m) integrates physical, operational, and regulatory constraints. First, the Outlet Failure threshold (0.50 m) is dictated by the physical crown elevation of tank outlet pipes, below which vortexing, air entrainment, and pump cavitation occur, requiring immediate isolation (Zhang et al., 2024). Second, the Normal threshold (5.0 m) aligns strictly with the baseline SCADA pump start setpoint (H ≤ 5.0 m start, H ≥ 8.0 m stop), establishing operational self-consistency across routine and emergency modes. Third, the intermediate Warning (5.0 m), Alert (4.0 m), and Critical (2.0 m) thresholds evenly divide the active storage depth, providing progressive reaction time windows (sim 1.0–3.5 h) that allow the network to step down demand in a controlled manner, ensuring that system pressure remains above the 0.10 MPa (≈ 10 m) minimum service head required by national engineering standards (MOHURD, 2018).</w:t>
      </w:r>
    </w:p>
    <w:p w14:paraId="3E662DA6">
      <w:pPr>
        <w:numPr>
          <w:ilvl w:val="0"/>
          <w:numId w:val="0"/>
        </w:numPr>
        <w:ind w:leftChars="0"/>
        <w:jc w:val="both"/>
        <w:rPr>
          <w:rFonts w:hint="default" w:ascii="Times New Roman" w:hAnsi="Times New Roman" w:cs="Times New Roman"/>
          <w:b w:val="0"/>
          <w:bCs w:val="0"/>
          <w:i/>
          <w:iCs/>
          <w:sz w:val="24"/>
          <w:szCs w:val="24"/>
          <w:lang w:val="en-US" w:eastAsia="zh-CN"/>
        </w:rPr>
      </w:pPr>
    </w:p>
    <w:p w14:paraId="5CAB2E1E">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highlight w:val="none"/>
          <w:lang w:val="en-US" w:eastAsia="zh-CN" w:bidi="ar-SA"/>
        </w:rPr>
      </w:pPr>
      <w:r>
        <w:rPr>
          <w:rFonts w:hint="default" w:ascii="Georgia" w:hAnsi="Georgia" w:eastAsia="等线" w:cs="Times New Roman"/>
          <w:b/>
          <w:bCs/>
          <w:i/>
          <w:iCs/>
          <w:kern w:val="2"/>
          <w:sz w:val="24"/>
          <w:szCs w:val="24"/>
          <w:highlight w:val="none"/>
          <w:lang w:val="en-US" w:eastAsia="zh-CN" w:bidi="ar-SA"/>
        </w:rPr>
        <w:t>Comment 2</w:t>
      </w:r>
      <w:r>
        <w:rPr>
          <w:rFonts w:hint="eastAsia" w:ascii="Georgia" w:hAnsi="Georgia" w:eastAsia="等线" w:cs="Times New Roman"/>
          <w:b/>
          <w:bCs/>
          <w:i/>
          <w:iCs/>
          <w:kern w:val="2"/>
          <w:sz w:val="24"/>
          <w:szCs w:val="24"/>
          <w:highlight w:val="none"/>
          <w:lang w:val="en-US" w:eastAsia="zh-CN" w:bidi="ar-SA"/>
        </w:rPr>
        <w:t>：Transparency and Fairness of Scenario Comparison (With vs. Without EWM)</w:t>
      </w:r>
    </w:p>
    <w:p w14:paraId="4883CF01">
      <w:pPr>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b/>
          <w:bCs/>
          <w:i/>
          <w:iCs/>
          <w:sz w:val="24"/>
          <w:szCs w:val="24"/>
          <w:lang w:val="en-US" w:eastAsia="zh-CN"/>
        </w:rPr>
        <w:t>Reviewer Comment:</w:t>
      </w:r>
    </w:p>
    <w:p w14:paraId="18697A91">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The comparison between the “Without EWM” and “With EWM” cases appears insufficiently transparent. In Fig. 5, the pressure curve without EWM drops abruptly to zero, whereas the curve with EWM remains relatively stable for a much longer period. This raises the concern that the two cases may not have been evaluated using the same hydraulic or performance-assignment rule. If the baseline is partly treated as a binary failure while the EWM case is treated as a gradual degradation process, the comparison would overstate the contribution of EWM.</w:t>
      </w:r>
    </w:p>
    <w:p w14:paraId="39727799">
      <w:pPr>
        <w:widowControl w:val="0"/>
        <w:ind w:leftChars="0"/>
        <w:jc w:val="both"/>
        <w:rPr>
          <w:rFonts w:hint="default" w:ascii="Times New Roman" w:hAnsi="Times New Roman" w:cs="Times New Roman" w:eastAsiaTheme="minorEastAsia"/>
          <w:kern w:val="2"/>
          <w:sz w:val="24"/>
          <w:szCs w:val="24"/>
          <w:lang w:val="en-US" w:eastAsia="zh-CN" w:bidi="ar-SA"/>
        </w:rPr>
      </w:pPr>
    </w:p>
    <w:p w14:paraId="66C4C31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p>
    <w:p w14:paraId="5AF3F0ED">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We appreciate this critical observation and provide our absolute, transparent assurance that both cases were evaluated using the exact same hydraulic solver engine, the exact same physical rules, and the exact same performance evaluation functions. The baseline case is not an artificial binary failure; it is a gradual, physics-based hydraulic degradation process evaluated under identical conditions.</w:t>
      </w:r>
    </w:p>
    <w:p w14:paraId="5CDD9C62">
      <w:pPr>
        <w:widowControl w:val="0"/>
        <w:ind w:leftChars="0"/>
        <w:jc w:val="both"/>
        <w:rPr>
          <w:rFonts w:hint="default" w:ascii="Times New Roman" w:hAnsi="Times New Roman" w:cs="Times New Roman" w:eastAsiaTheme="minorEastAsia"/>
          <w:kern w:val="2"/>
          <w:sz w:val="24"/>
          <w:szCs w:val="24"/>
          <w:lang w:val="en-US" w:eastAsia="zh-CN" w:bidi="ar-SA"/>
        </w:rPr>
      </w:pPr>
    </w:p>
    <w:p w14:paraId="1745AD3C">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Specifically:</w:t>
      </w:r>
    </w:p>
    <w:p w14:paraId="443A30F9">
      <w:pPr>
        <w:widowControl w:val="0"/>
        <w:ind w:leftChars="0"/>
        <w:jc w:val="both"/>
        <w:rPr>
          <w:rFonts w:hint="default" w:ascii="Times New Roman" w:hAnsi="Times New Roman" w:cs="Times New Roman" w:eastAsiaTheme="minorEastAsia"/>
          <w:kern w:val="2"/>
          <w:sz w:val="24"/>
          <w:szCs w:val="24"/>
          <w:lang w:val="en-US" w:eastAsia="zh-CN" w:bidi="ar-SA"/>
        </w:rPr>
      </w:pPr>
    </w:p>
    <w:p w14:paraId="5DBD7735">
      <w:pPr>
        <w:widowControl w:val="0"/>
        <w:jc w:val="both"/>
        <w:rPr>
          <w:rFonts w:hint="default" w:ascii="Times New Roman" w:hAnsi="Times New Roman" w:cs="Times New Roman" w:eastAsiaTheme="minorEastAsia"/>
          <w:b w:val="0"/>
          <w:bCs/>
          <w:kern w:val="2"/>
          <w:sz w:val="24"/>
          <w:szCs w:val="24"/>
          <w:lang w:val="en-US" w:eastAsia="zh-CN" w:bidi="ar-SA"/>
        </w:rPr>
      </w:pPr>
      <w:r>
        <w:rPr>
          <w:rFonts w:hint="default" w:ascii="Times New Roman" w:hAnsi="Times New Roman" w:cs="Times New Roman" w:eastAsiaTheme="minorEastAsia"/>
          <w:b/>
          <w:kern w:val="2"/>
          <w:sz w:val="24"/>
          <w:szCs w:val="24"/>
          <w:lang w:val="en-US" w:eastAsia="zh-CN" w:bidi="ar-SA"/>
        </w:rPr>
        <w:t xml:space="preserve">1.Shared Hydraulic Engine &amp; Timestep: </w:t>
      </w:r>
      <w:r>
        <w:rPr>
          <w:rFonts w:hint="default" w:ascii="Times New Roman" w:hAnsi="Times New Roman" w:cs="Times New Roman" w:eastAsiaTheme="minorEastAsia"/>
          <w:b w:val="0"/>
          <w:bCs/>
          <w:kern w:val="2"/>
          <w:sz w:val="24"/>
          <w:szCs w:val="24"/>
          <w:lang w:val="en-US" w:eastAsia="zh-CN" w:bidi="ar-SA"/>
        </w:rPr>
        <w:t>Both cases inherit from the same simulation engine (WNTR / EPANET 2.2 kernel) with Pressure-Driven Analysis (PDA), a 300-s timestep, and a 72-h total horizon.</w:t>
      </w:r>
    </w:p>
    <w:p w14:paraId="1F38343F">
      <w:pPr>
        <w:widowControl w:val="0"/>
        <w:jc w:val="both"/>
        <w:rPr>
          <w:rFonts w:hint="eastAsia" w:ascii="Times New Roman" w:hAnsi="Times New Roman" w:cs="Times New Roman"/>
          <w:b w:val="0"/>
          <w:bCs/>
          <w:kern w:val="2"/>
          <w:sz w:val="24"/>
          <w:szCs w:val="24"/>
          <w:lang w:val="en-US" w:eastAsia="zh-CN" w:bidi="ar-SA"/>
        </w:rPr>
      </w:pPr>
      <w:r>
        <w:rPr>
          <w:rFonts w:hint="eastAsia" w:ascii="Times New Roman" w:hAnsi="Times New Roman" w:cs="Times New Roman"/>
          <w:b/>
          <w:bCs w:val="0"/>
          <w:kern w:val="2"/>
          <w:sz w:val="24"/>
          <w:szCs w:val="24"/>
          <w:lang w:val="en-US" w:eastAsia="zh-CN" w:bidi="ar-SA"/>
        </w:rPr>
        <w:t xml:space="preserve">2. Shared Tank Outlet Closure Protection: </w:t>
      </w:r>
      <w:r>
        <w:rPr>
          <w:rFonts w:hint="eastAsia" w:ascii="Times New Roman" w:hAnsi="Times New Roman" w:cs="Times New Roman"/>
          <w:b w:val="0"/>
          <w:bCs/>
          <w:kern w:val="2"/>
          <w:sz w:val="24"/>
          <w:szCs w:val="24"/>
          <w:lang w:val="en-US" w:eastAsia="zh-CN" w:bidi="ar-SA"/>
        </w:rPr>
        <w:t>Both cases implement the exact same physical protection rule: when water level drops below 0.50 m (outlet pipe submergence threshold), the outlet pipe automatically closes to prevent pipe cavitation and air binding.</w:t>
      </w:r>
    </w:p>
    <w:p w14:paraId="1E554C7E">
      <w:pPr>
        <w:widowControl w:val="0"/>
        <w:jc w:val="both"/>
        <w:rPr>
          <w:rFonts w:hint="default" w:ascii="Times New Roman" w:hAnsi="Times New Roman" w:cs="Times New Roman"/>
          <w:b w:val="0"/>
          <w:bCs/>
          <w:kern w:val="2"/>
          <w:sz w:val="24"/>
          <w:szCs w:val="24"/>
          <w:lang w:val="en-US" w:eastAsia="zh-CN" w:bidi="ar-SA"/>
        </w:rPr>
      </w:pPr>
      <w:r>
        <w:rPr>
          <w:rFonts w:hint="eastAsia" w:ascii="Times New Roman" w:hAnsi="Times New Roman" w:cs="Times New Roman"/>
          <w:b/>
          <w:bCs w:val="0"/>
          <w:kern w:val="2"/>
          <w:sz w:val="24"/>
          <w:szCs w:val="24"/>
          <w:lang w:val="en-US" w:eastAsia="zh-CN" w:bidi="ar-SA"/>
        </w:rPr>
        <w:t xml:space="preserve">3. </w:t>
      </w:r>
      <w:r>
        <w:rPr>
          <w:rFonts w:hint="default" w:ascii="Times New Roman" w:hAnsi="Times New Roman" w:cs="Times New Roman"/>
          <w:b/>
          <w:bCs w:val="0"/>
          <w:kern w:val="2"/>
          <w:sz w:val="24"/>
          <w:szCs w:val="24"/>
          <w:lang w:val="en-US" w:eastAsia="zh-CN" w:bidi="ar-SA"/>
        </w:rPr>
        <w:t>Shared Baseline Pressure (P0) &amp; Metric:</w:t>
      </w:r>
      <w:r>
        <w:rPr>
          <w:rFonts w:hint="default" w:ascii="Times New Roman" w:hAnsi="Times New Roman" w:cs="Times New Roman"/>
          <w:b w:val="0"/>
          <w:bCs/>
          <w:kern w:val="2"/>
          <w:sz w:val="24"/>
          <w:szCs w:val="24"/>
          <w:lang w:val="en-US" w:eastAsia="zh-CN" w:bidi="ar-SA"/>
        </w:rPr>
        <w:t xml:space="preserve"> Both cases evaluate node head and calculate RI against the same pre-fault baseline pressure (P0=55.23 m).</w:t>
      </w:r>
    </w:p>
    <w:p w14:paraId="5AF01E41">
      <w:pPr>
        <w:widowControl w:val="0"/>
        <w:jc w:val="both"/>
        <w:rPr>
          <w:rFonts w:hint="eastAsia" w:ascii="Times New Roman" w:hAnsi="Times New Roman" w:cs="Times New Roman"/>
          <w:b w:val="0"/>
          <w:bCs/>
          <w:kern w:val="2"/>
          <w:sz w:val="24"/>
          <w:szCs w:val="24"/>
          <w:lang w:val="en-US" w:eastAsia="zh-CN" w:bidi="ar-SA"/>
        </w:rPr>
      </w:pPr>
      <w:r>
        <w:rPr>
          <w:rFonts w:hint="eastAsia" w:ascii="Times New Roman" w:hAnsi="Times New Roman" w:cs="Times New Roman"/>
          <w:b/>
          <w:bCs w:val="0"/>
          <w:kern w:val="2"/>
          <w:sz w:val="24"/>
          <w:szCs w:val="24"/>
          <w:lang w:val="en-US" w:eastAsia="zh-CN" w:bidi="ar-SA"/>
        </w:rPr>
        <w:t>4. Single Controlled Variable:</w:t>
      </w:r>
      <w:r>
        <w:rPr>
          <w:rFonts w:hint="eastAsia" w:ascii="Times New Roman" w:hAnsi="Times New Roman" w:cs="Times New Roman"/>
          <w:b w:val="0"/>
          <w:bCs/>
          <w:kern w:val="2"/>
          <w:sz w:val="24"/>
          <w:szCs w:val="24"/>
          <w:lang w:val="en-US" w:eastAsia="zh-CN" w:bidi="ar-SA"/>
        </w:rPr>
        <w:t xml:space="preserve"> The only difference between the two runs is whether the demand reduction multiplier is active (γ∈{1.00,0.70,0.40,0.20}) or held constant at γ=1.00 (no intervention).</w:t>
      </w:r>
    </w:p>
    <w:p w14:paraId="69A66919">
      <w:pPr>
        <w:widowControl w:val="0"/>
        <w:jc w:val="both"/>
        <w:rPr>
          <w:rFonts w:hint="eastAsia" w:ascii="Times New Roman" w:hAnsi="Times New Roman" w:cs="Times New Roman"/>
          <w:b w:val="0"/>
          <w:bCs/>
          <w:kern w:val="2"/>
          <w:sz w:val="24"/>
          <w:szCs w:val="24"/>
          <w:lang w:val="en-US" w:eastAsia="zh-CN" w:bidi="ar-SA"/>
        </w:rPr>
      </w:pPr>
    </w:p>
    <w:p w14:paraId="5A26E640">
      <w:pPr>
        <w:widowControl w:val="0"/>
        <w:jc w:val="both"/>
        <w:rPr>
          <w:rFonts w:hint="eastAsia" w:ascii="Times New Roman" w:hAnsi="Times New Roman" w:cs="Times New Roman"/>
          <w:b w:val="0"/>
          <w:bCs/>
          <w:i/>
          <w:iCs/>
          <w:kern w:val="2"/>
          <w:sz w:val="24"/>
          <w:szCs w:val="24"/>
          <w:lang w:val="en-US" w:eastAsia="zh-CN" w:bidi="ar-SA"/>
        </w:rPr>
      </w:pPr>
      <w:r>
        <w:rPr>
          <w:rFonts w:hint="eastAsia" w:ascii="Times New Roman" w:hAnsi="Times New Roman" w:cs="Times New Roman"/>
          <w:b w:val="0"/>
          <w:bCs/>
          <w:i/>
          <w:iCs/>
          <w:kern w:val="2"/>
          <w:sz w:val="24"/>
          <w:szCs w:val="24"/>
          <w:lang w:val="en-US" w:eastAsia="zh-CN" w:bidi="ar-SA"/>
        </w:rPr>
        <w:t xml:space="preserve">The abrupt pressure drop in the </w:t>
      </w:r>
      <w:r>
        <w:rPr>
          <w:rFonts w:hint="default" w:ascii="Times New Roman" w:hAnsi="Times New Roman" w:cs="Times New Roman"/>
          <w:b w:val="0"/>
          <w:bCs/>
          <w:i/>
          <w:iCs/>
          <w:kern w:val="2"/>
          <w:sz w:val="24"/>
          <w:szCs w:val="24"/>
          <w:lang w:val="en-US" w:eastAsia="zh-CN" w:bidi="ar-SA"/>
        </w:rPr>
        <w:t>‘</w:t>
      </w:r>
      <w:r>
        <w:rPr>
          <w:rFonts w:hint="eastAsia" w:ascii="Times New Roman" w:hAnsi="Times New Roman" w:cs="Times New Roman"/>
          <w:b w:val="0"/>
          <w:bCs/>
          <w:i/>
          <w:iCs/>
          <w:kern w:val="2"/>
          <w:sz w:val="24"/>
          <w:szCs w:val="24"/>
          <w:lang w:val="en-US" w:eastAsia="zh-CN" w:bidi="ar-SA"/>
        </w:rPr>
        <w:t>Without EWM</w:t>
      </w:r>
      <w:r>
        <w:rPr>
          <w:rFonts w:hint="default" w:ascii="Times New Roman" w:hAnsi="Times New Roman" w:cs="Times New Roman"/>
          <w:b w:val="0"/>
          <w:bCs/>
          <w:i/>
          <w:iCs/>
          <w:kern w:val="2"/>
          <w:sz w:val="24"/>
          <w:szCs w:val="24"/>
          <w:lang w:val="en-US" w:eastAsia="zh-CN" w:bidi="ar-SA"/>
        </w:rPr>
        <w:t>’</w:t>
      </w:r>
      <w:r>
        <w:rPr>
          <w:rFonts w:hint="eastAsia" w:ascii="Times New Roman" w:hAnsi="Times New Roman" w:cs="Times New Roman"/>
          <w:b w:val="0"/>
          <w:bCs/>
          <w:i/>
          <w:iCs/>
          <w:kern w:val="2"/>
          <w:sz w:val="24"/>
          <w:szCs w:val="24"/>
          <w:lang w:val="en-US" w:eastAsia="zh-CN" w:bidi="ar-SA"/>
        </w:rPr>
        <w:t xml:space="preserve"> case is the natural hydraulic consequence of uncurtailed demand: at 100% demand (1.5× base load), storage tanks drain completely within \sim 6 h, triggering the 0.50-m outlet closure, after which pipe pressure collapses to zero. Under EWM, demand reduction slows tank drainage, keeping outlet pipes open and head elevated throughout the 24-h fault.</w:t>
      </w:r>
    </w:p>
    <w:p w14:paraId="6A213DC9">
      <w:pPr>
        <w:widowControl w:val="0"/>
        <w:jc w:val="both"/>
        <w:rPr>
          <w:rFonts w:hint="eastAsia" w:ascii="Times New Roman" w:hAnsi="Times New Roman" w:cs="Times New Roman"/>
          <w:b w:val="0"/>
          <w:bCs/>
          <w:kern w:val="2"/>
          <w:sz w:val="24"/>
          <w:szCs w:val="24"/>
          <w:lang w:val="en-US" w:eastAsia="zh-CN" w:bidi="ar-SA"/>
        </w:rPr>
      </w:pPr>
    </w:p>
    <w:p w14:paraId="7226FECE">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等线" w:cs="Times New Roman"/>
          <w:b/>
          <w:bCs/>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Changes in Manuscript:</w:t>
      </w:r>
    </w:p>
    <w:p w14:paraId="7F124275">
      <w:pPr>
        <w:widowControl w:val="0"/>
        <w:jc w:val="both"/>
        <w:rPr>
          <w:rFonts w:hint="default" w:ascii="Times New Roman" w:hAnsi="Times New Roman" w:cs="Times New Roman"/>
          <w:b w:val="0"/>
          <w:bCs/>
          <w:i/>
          <w:iCs/>
          <w:kern w:val="2"/>
          <w:sz w:val="24"/>
          <w:szCs w:val="24"/>
          <w:lang w:val="en-US" w:eastAsia="zh-CN" w:bidi="ar-SA"/>
        </w:rPr>
      </w:pPr>
      <w:r>
        <w:rPr>
          <w:rFonts w:hint="default" w:ascii="Times New Roman" w:hAnsi="Times New Roman" w:cs="Times New Roman"/>
          <w:b w:val="0"/>
          <w:bCs/>
          <w:i/>
          <w:iCs/>
          <w:kern w:val="2"/>
          <w:sz w:val="24"/>
          <w:szCs w:val="24"/>
          <w:lang w:val="en-US" w:eastAsia="zh-CN" w:bidi="ar-SA"/>
        </w:rPr>
        <w:t>In Section 2.4 (Methodology), a new dedicated subsection titled “2.4 Experimental Control and Fairness of Comparison” has been added, including Table 3:</w:t>
      </w:r>
    </w:p>
    <w:p w14:paraId="1A790B24">
      <w:pPr>
        <w:widowControl w:val="0"/>
        <w:jc w:val="both"/>
        <w:rPr>
          <w:rFonts w:hint="default" w:ascii="Times New Roman" w:hAnsi="Times New Roman" w:cs="Times New Roman"/>
          <w:b w:val="0"/>
          <w:bCs/>
          <w:kern w:val="2"/>
          <w:sz w:val="24"/>
          <w:szCs w:val="24"/>
          <w:lang w:val="en-US" w:eastAsia="zh-CN" w:bidi="ar-SA"/>
        </w:rPr>
      </w:pPr>
    </w:p>
    <w:p w14:paraId="3DBB519E">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2.4 Experimental Control and Fairness of Comparison</w:t>
      </w:r>
    </w:p>
    <w:p w14:paraId="52986E78">
      <w:pPr>
        <w:widowControl w:val="0"/>
        <w:jc w:val="both"/>
        <w:rPr>
          <w:rFonts w:hint="default" w:ascii="Times New Roman" w:hAnsi="Times New Roman" w:cs="Times New Roman"/>
          <w:b w:val="0"/>
          <w:bCs/>
          <w:i/>
          <w:iCs/>
          <w:kern w:val="2"/>
          <w:sz w:val="24"/>
          <w:szCs w:val="24"/>
          <w:lang w:val="en-US" w:eastAsia="zh-CN" w:bidi="ar-SA"/>
        </w:rPr>
      </w:pPr>
      <w:r>
        <w:rPr>
          <w:rFonts w:hint="default" w:ascii="Times New Roman" w:hAnsi="Times New Roman" w:cs="Times New Roman"/>
          <w:b w:val="0"/>
          <w:bCs/>
          <w:i/>
          <w:iCs/>
          <w:kern w:val="2"/>
          <w:sz w:val="24"/>
          <w:szCs w:val="24"/>
          <w:lang w:val="en-US" w:eastAsia="zh-CN" w:bidi="ar-SA"/>
        </w:rPr>
        <w:t>To guarantee complete experimental rigor and eliminate potential bias in resilience quantification, the 'Without EWM' (baseline) and 'With EWM' (intervened) simulation scenarios are executed on an identical hydraulic modeling baseline. Both cases are evaluated using the EPANET 2.2 Pressure-Driven Analysis (PDA) solver wrapped within the WNTR Python framework. Both scenarios share identical network topology, pipe roughness, node elevations, initial tank levels (3.051 m), hydraulic step sizes (Δ t = 300 s), and physical tank outlet protection thresholds (H_{outlet} = 0.50 m).</w:t>
      </w:r>
    </w:p>
    <w:p w14:paraId="2E8F1926">
      <w:pPr>
        <w:widowControl w:val="0"/>
        <w:jc w:val="both"/>
        <w:rPr>
          <w:rFonts w:hint="default" w:ascii="Times New Roman" w:hAnsi="Times New Roman" w:cs="Times New Roman"/>
          <w:b w:val="0"/>
          <w:bCs/>
          <w:i/>
          <w:iCs/>
          <w:kern w:val="2"/>
          <w:sz w:val="24"/>
          <w:szCs w:val="24"/>
          <w:lang w:val="en-US" w:eastAsia="zh-CN" w:bidi="ar-SA"/>
        </w:rPr>
      </w:pPr>
      <w:r>
        <w:rPr>
          <w:rFonts w:hint="default" w:ascii="Times New Roman" w:hAnsi="Times New Roman" w:cs="Times New Roman"/>
          <w:b w:val="0"/>
          <w:bCs/>
          <w:i/>
          <w:iCs/>
          <w:kern w:val="2"/>
          <w:sz w:val="24"/>
          <w:szCs w:val="24"/>
          <w:lang w:val="en-US" w:eastAsia="zh-CN" w:bidi="ar-SA"/>
        </w:rPr>
        <w:t>The abrupt pressure drop observed in the baseline case is not an assumed binary failure rule, but rather the deterministic hydraulic outcome of uncurtailed 100% demand under total source interruption: high outflow drains the tank storage within \sim 6 h, causing water level to drop below 0.50 m, which forces the physical closure of tank outlet pipes to prevent pump/pipe cavitation. The single controlled experimental variable between the two scenarios is the activation of early-warning-triggered demand management. Table 3 lists the side-by-side experimental control matrix.</w:t>
      </w:r>
    </w:p>
    <w:p w14:paraId="3CB84FE7">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eastAsiaTheme="minorEastAsia"/>
          <w:b/>
          <w:bCs/>
          <w:i/>
          <w:iCs/>
          <w:kern w:val="2"/>
          <w:sz w:val="20"/>
          <w:szCs w:val="20"/>
          <w:lang w:val="en-US" w:eastAsia="zh-CN" w:bidi="ar-SA"/>
        </w:rPr>
      </w:pPr>
      <w:r>
        <w:rPr>
          <w:rFonts w:hint="default" w:ascii="Times New Roman" w:hAnsi="Times New Roman" w:cs="Times New Roman" w:eastAsiaTheme="minorEastAsia"/>
          <w:b/>
          <w:bCs/>
          <w:i/>
          <w:iCs/>
          <w:sz w:val="20"/>
          <w:szCs w:val="20"/>
          <w:lang w:val="en-US" w:eastAsia="zh-CN"/>
        </w:rPr>
        <w:t>Table 3: Comparative experimental control matrix between Without EWM and With EWM scenarios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214"/>
        <w:gridCol w:w="2158"/>
        <w:gridCol w:w="1990"/>
      </w:tblGrid>
      <w:tr w14:paraId="75B9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601204EC">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Simulation Parameter / Rule</w:t>
            </w:r>
          </w:p>
        </w:tc>
        <w:tc>
          <w:tcPr>
            <w:tcW w:w="0" w:type="auto"/>
            <w:tcBorders>
              <w:top w:val="single" w:color="000000" w:sz="12" w:space="0"/>
              <w:left w:val="nil"/>
              <w:bottom w:val="single" w:color="000000" w:sz="4" w:space="0"/>
              <w:right w:val="nil"/>
            </w:tcBorders>
            <w:shd w:val="clear" w:color="auto" w:fill="FFFFFF"/>
          </w:tcPr>
          <w:p w14:paraId="53FC3892">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Baseline Scenario (Without EWM)</w:t>
            </w:r>
          </w:p>
        </w:tc>
        <w:tc>
          <w:tcPr>
            <w:tcW w:w="0" w:type="auto"/>
            <w:tcBorders>
              <w:top w:val="single" w:color="000000" w:sz="12" w:space="0"/>
              <w:left w:val="nil"/>
              <w:bottom w:val="single" w:color="000000" w:sz="4" w:space="0"/>
              <w:right w:val="nil"/>
            </w:tcBorders>
            <w:shd w:val="clear" w:color="auto" w:fill="FFFFFF"/>
          </w:tcPr>
          <w:p w14:paraId="022CE6EB">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Proposed Scenario (With EWM)</w:t>
            </w:r>
          </w:p>
        </w:tc>
        <w:tc>
          <w:tcPr>
            <w:tcW w:w="0" w:type="auto"/>
            <w:tcBorders>
              <w:top w:val="single" w:color="000000" w:sz="12" w:space="0"/>
              <w:left w:val="nil"/>
              <w:bottom w:val="single" w:color="000000" w:sz="4" w:space="0"/>
              <w:right w:val="nil"/>
            </w:tcBorders>
            <w:shd w:val="clear" w:color="auto" w:fill="FFFFFF"/>
          </w:tcPr>
          <w:p w14:paraId="39D1609D">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Experimental Control Status</w:t>
            </w:r>
          </w:p>
        </w:tc>
      </w:tr>
      <w:tr w14:paraId="1556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2E3ADCA1">
            <w:pPr>
              <w:widowControl w:val="0"/>
              <w:jc w:val="left"/>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Hydraulic Solver Engine</w:t>
            </w:r>
          </w:p>
        </w:tc>
        <w:tc>
          <w:tcPr>
            <w:tcW w:w="0" w:type="auto"/>
            <w:tcBorders>
              <w:top w:val="single" w:color="000000" w:sz="4" w:space="0"/>
              <w:left w:val="nil"/>
              <w:bottom w:val="nil"/>
              <w:right w:val="nil"/>
            </w:tcBorders>
            <w:shd w:val="clear" w:color="auto" w:fill="FFFFFF"/>
          </w:tcPr>
          <w:p w14:paraId="08E573E1">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WNTR / EPANET 2.2 (PDA)</w:t>
            </w:r>
          </w:p>
        </w:tc>
        <w:tc>
          <w:tcPr>
            <w:tcW w:w="0" w:type="auto"/>
            <w:tcBorders>
              <w:top w:val="single" w:color="000000" w:sz="4" w:space="0"/>
              <w:left w:val="nil"/>
              <w:bottom w:val="nil"/>
              <w:right w:val="nil"/>
            </w:tcBorders>
            <w:shd w:val="clear" w:color="auto" w:fill="FFFFFF"/>
          </w:tcPr>
          <w:p w14:paraId="7D19CEB1">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WNTR / EPANET 2.2 (PDA)</w:t>
            </w:r>
          </w:p>
        </w:tc>
        <w:tc>
          <w:tcPr>
            <w:tcW w:w="0" w:type="auto"/>
            <w:tcBorders>
              <w:top w:val="single" w:color="000000" w:sz="4" w:space="0"/>
              <w:left w:val="nil"/>
              <w:bottom w:val="nil"/>
              <w:right w:val="nil"/>
            </w:tcBorders>
            <w:shd w:val="clear" w:color="auto" w:fill="FFFFFF"/>
          </w:tcPr>
          <w:p w14:paraId="6DC10953">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Identical</w:t>
            </w:r>
          </w:p>
        </w:tc>
      </w:tr>
      <w:tr w14:paraId="339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2747F529">
            <w:pPr>
              <w:widowControl w:val="0"/>
              <w:jc w:val="left"/>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Simulation Horizon / Step</w:t>
            </w:r>
          </w:p>
        </w:tc>
        <w:tc>
          <w:tcPr>
            <w:tcW w:w="0" w:type="auto"/>
            <w:tcBorders>
              <w:top w:val="nil"/>
              <w:left w:val="nil"/>
              <w:bottom w:val="nil"/>
              <w:right w:val="nil"/>
            </w:tcBorders>
            <w:shd w:val="clear" w:color="auto" w:fill="FFFFFF"/>
          </w:tcPr>
          <w:p w14:paraId="2C3AD57E">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72 h total / Δt=300 s</w:t>
            </w:r>
          </w:p>
        </w:tc>
        <w:tc>
          <w:tcPr>
            <w:tcW w:w="0" w:type="auto"/>
            <w:tcBorders>
              <w:top w:val="nil"/>
              <w:left w:val="nil"/>
              <w:bottom w:val="nil"/>
              <w:right w:val="nil"/>
            </w:tcBorders>
            <w:shd w:val="clear" w:color="auto" w:fill="FFFFFF"/>
          </w:tcPr>
          <w:p w14:paraId="59F8BDFC">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72 h total / Δt=300 s</w:t>
            </w:r>
          </w:p>
        </w:tc>
        <w:tc>
          <w:tcPr>
            <w:tcW w:w="0" w:type="auto"/>
            <w:tcBorders>
              <w:top w:val="nil"/>
              <w:left w:val="nil"/>
              <w:bottom w:val="nil"/>
              <w:right w:val="nil"/>
            </w:tcBorders>
            <w:shd w:val="clear" w:color="auto" w:fill="FFFFFF"/>
          </w:tcPr>
          <w:p w14:paraId="237525C0">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Identical</w:t>
            </w:r>
          </w:p>
        </w:tc>
      </w:tr>
      <w:tr w14:paraId="5F92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166378C6">
            <w:pPr>
              <w:widowControl w:val="0"/>
              <w:jc w:val="left"/>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Disruption Scenario</w:t>
            </w:r>
          </w:p>
        </w:tc>
        <w:tc>
          <w:tcPr>
            <w:tcW w:w="0" w:type="auto"/>
            <w:tcBorders>
              <w:top w:val="nil"/>
              <w:left w:val="nil"/>
              <w:bottom w:val="nil"/>
              <w:right w:val="nil"/>
            </w:tcBorders>
            <w:shd w:val="clear" w:color="auto" w:fill="FFFFFF"/>
          </w:tcPr>
          <w:p w14:paraId="08883B8A">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Total pump outage (t=24–48 h)</w:t>
            </w:r>
          </w:p>
        </w:tc>
        <w:tc>
          <w:tcPr>
            <w:tcW w:w="0" w:type="auto"/>
            <w:tcBorders>
              <w:top w:val="nil"/>
              <w:left w:val="nil"/>
              <w:bottom w:val="nil"/>
              <w:right w:val="nil"/>
            </w:tcBorders>
            <w:shd w:val="clear" w:color="auto" w:fill="FFFFFF"/>
          </w:tcPr>
          <w:p w14:paraId="008B7A68">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Total pump outage (t=24–48 h)</w:t>
            </w:r>
          </w:p>
        </w:tc>
        <w:tc>
          <w:tcPr>
            <w:tcW w:w="0" w:type="auto"/>
            <w:tcBorders>
              <w:top w:val="nil"/>
              <w:left w:val="nil"/>
              <w:bottom w:val="nil"/>
              <w:right w:val="nil"/>
            </w:tcBorders>
            <w:shd w:val="clear" w:color="auto" w:fill="FFFFFF"/>
          </w:tcPr>
          <w:p w14:paraId="5971FE21">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Identical</w:t>
            </w:r>
          </w:p>
        </w:tc>
      </w:tr>
      <w:tr w14:paraId="2E2E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0" w:type="auto"/>
            <w:tcBorders>
              <w:top w:val="nil"/>
              <w:left w:val="nil"/>
              <w:bottom w:val="nil"/>
              <w:right w:val="nil"/>
            </w:tcBorders>
            <w:shd w:val="clear" w:color="auto" w:fill="FFFFFF"/>
          </w:tcPr>
          <w:p w14:paraId="7B975B74">
            <w:pPr>
              <w:widowControl w:val="0"/>
              <w:jc w:val="left"/>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Tank Outlet Closure Rule</w:t>
            </w:r>
          </w:p>
        </w:tc>
        <w:tc>
          <w:tcPr>
            <w:tcW w:w="0" w:type="auto"/>
            <w:tcBorders>
              <w:top w:val="nil"/>
              <w:left w:val="nil"/>
              <w:bottom w:val="nil"/>
              <w:right w:val="nil"/>
            </w:tcBorders>
            <w:shd w:val="clear" w:color="auto" w:fill="FFFFFF"/>
          </w:tcPr>
          <w:p w14:paraId="453E35B7">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Closed when Htank</w:t>
            </w:r>
            <w:r>
              <w:rPr>
                <w:rFonts w:hint="eastAsia" w:ascii="Times New Roman" w:hAnsi="Times New Roman" w:cs="Times New Roman"/>
                <w:b w:val="0"/>
                <w:i/>
                <w:iCs/>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iCs/>
                <w:color w:val="000000"/>
                <w:kern w:val="2"/>
                <w:sz w:val="20"/>
                <w:szCs w:val="20"/>
                <w:vertAlign w:val="baseline"/>
                <w:lang w:val="en-US" w:eastAsia="zh-CN" w:bidi="ar-SA"/>
              </w:rPr>
              <w:t>&lt;</w:t>
            </w:r>
            <w:r>
              <w:rPr>
                <w:rFonts w:hint="eastAsia" w:ascii="Times New Roman" w:hAnsi="Times New Roman" w:cs="Times New Roman"/>
                <w:b w:val="0"/>
                <w:i/>
                <w:iCs/>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iCs/>
                <w:color w:val="000000"/>
                <w:kern w:val="2"/>
                <w:sz w:val="20"/>
                <w:szCs w:val="20"/>
                <w:vertAlign w:val="baseline"/>
                <w:lang w:val="en-US" w:eastAsia="zh-CN" w:bidi="ar-SA"/>
              </w:rPr>
              <w:t>0.50 m</w:t>
            </w:r>
          </w:p>
        </w:tc>
        <w:tc>
          <w:tcPr>
            <w:tcW w:w="0" w:type="auto"/>
            <w:tcBorders>
              <w:top w:val="nil"/>
              <w:left w:val="nil"/>
              <w:bottom w:val="nil"/>
              <w:right w:val="nil"/>
            </w:tcBorders>
            <w:shd w:val="clear" w:color="auto" w:fill="FFFFFF"/>
          </w:tcPr>
          <w:p w14:paraId="1478285F">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Closed when Htank</w:t>
            </w:r>
            <w:r>
              <w:rPr>
                <w:rFonts w:hint="eastAsia" w:ascii="Times New Roman" w:hAnsi="Times New Roman" w:cs="Times New Roman"/>
                <w:b w:val="0"/>
                <w:i/>
                <w:iCs/>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iCs/>
                <w:color w:val="000000"/>
                <w:kern w:val="2"/>
                <w:sz w:val="20"/>
                <w:szCs w:val="20"/>
                <w:vertAlign w:val="baseline"/>
                <w:lang w:val="en-US" w:eastAsia="zh-CN" w:bidi="ar-SA"/>
              </w:rPr>
              <w:t>&lt;</w:t>
            </w:r>
            <w:r>
              <w:rPr>
                <w:rFonts w:hint="eastAsia" w:ascii="Times New Roman" w:hAnsi="Times New Roman" w:cs="Times New Roman"/>
                <w:b w:val="0"/>
                <w:i/>
                <w:iCs/>
                <w:color w:val="000000"/>
                <w:kern w:val="2"/>
                <w:sz w:val="20"/>
                <w:szCs w:val="20"/>
                <w:vertAlign w:val="baseline"/>
                <w:lang w:val="en-US" w:eastAsia="zh-CN" w:bidi="ar-SA"/>
              </w:rPr>
              <w:t xml:space="preserve"> </w:t>
            </w:r>
            <w:r>
              <w:rPr>
                <w:rFonts w:hint="default" w:ascii="Times New Roman" w:hAnsi="Times New Roman" w:cs="Times New Roman" w:eastAsiaTheme="minorEastAsia"/>
                <w:b w:val="0"/>
                <w:i/>
                <w:iCs/>
                <w:color w:val="000000"/>
                <w:kern w:val="2"/>
                <w:sz w:val="20"/>
                <w:szCs w:val="20"/>
                <w:vertAlign w:val="baseline"/>
                <w:lang w:val="en-US" w:eastAsia="zh-CN" w:bidi="ar-SA"/>
              </w:rPr>
              <w:t>0.50 m</w:t>
            </w:r>
          </w:p>
        </w:tc>
        <w:tc>
          <w:tcPr>
            <w:tcW w:w="0" w:type="auto"/>
            <w:tcBorders>
              <w:top w:val="nil"/>
              <w:left w:val="nil"/>
              <w:bottom w:val="nil"/>
              <w:right w:val="nil"/>
            </w:tcBorders>
            <w:shd w:val="clear" w:color="auto" w:fill="FFFFFF"/>
          </w:tcPr>
          <w:p w14:paraId="41182518">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Identical</w:t>
            </w:r>
          </w:p>
        </w:tc>
      </w:tr>
      <w:tr w14:paraId="47F7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7FA80BFC">
            <w:pPr>
              <w:widowControl w:val="0"/>
              <w:jc w:val="left"/>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Baseline System Head (P0)</w:t>
            </w:r>
          </w:p>
        </w:tc>
        <w:tc>
          <w:tcPr>
            <w:tcW w:w="0" w:type="auto"/>
            <w:tcBorders>
              <w:top w:val="nil"/>
              <w:left w:val="nil"/>
              <w:bottom w:val="nil"/>
              <w:right w:val="nil"/>
            </w:tcBorders>
            <w:shd w:val="clear" w:color="auto" w:fill="FFFFFF"/>
          </w:tcPr>
          <w:p w14:paraId="18E1EA3D">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55.23 m (0.541 MPa)</w:t>
            </w:r>
          </w:p>
        </w:tc>
        <w:tc>
          <w:tcPr>
            <w:tcW w:w="0" w:type="auto"/>
            <w:tcBorders>
              <w:top w:val="nil"/>
              <w:left w:val="nil"/>
              <w:bottom w:val="nil"/>
              <w:right w:val="nil"/>
            </w:tcBorders>
            <w:shd w:val="clear" w:color="auto" w:fill="FFFFFF"/>
          </w:tcPr>
          <w:p w14:paraId="11A42836">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55.23 m (0.541 MPa)</w:t>
            </w:r>
          </w:p>
        </w:tc>
        <w:tc>
          <w:tcPr>
            <w:tcW w:w="0" w:type="auto"/>
            <w:tcBorders>
              <w:top w:val="nil"/>
              <w:left w:val="nil"/>
              <w:bottom w:val="nil"/>
              <w:right w:val="nil"/>
            </w:tcBorders>
            <w:shd w:val="clear" w:color="auto" w:fill="FFFFFF"/>
          </w:tcPr>
          <w:p w14:paraId="18AEF0F8">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Identical</w:t>
            </w:r>
          </w:p>
        </w:tc>
      </w:tr>
      <w:tr w14:paraId="7810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403C222E">
            <w:pPr>
              <w:widowControl w:val="0"/>
              <w:jc w:val="left"/>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Demand Management Multiplier</w:t>
            </w:r>
          </w:p>
        </w:tc>
        <w:tc>
          <w:tcPr>
            <w:tcW w:w="0" w:type="auto"/>
            <w:tcBorders>
              <w:top w:val="nil"/>
              <w:left w:val="nil"/>
              <w:bottom w:val="single" w:color="000000" w:sz="12" w:space="0"/>
              <w:right w:val="nil"/>
            </w:tcBorders>
            <w:shd w:val="clear" w:color="auto" w:fill="FFFFFF"/>
          </w:tcPr>
          <w:p w14:paraId="23049F80">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Constant γ=1.00 (No intervention)</w:t>
            </w:r>
          </w:p>
        </w:tc>
        <w:tc>
          <w:tcPr>
            <w:tcW w:w="0" w:type="auto"/>
            <w:tcBorders>
              <w:top w:val="nil"/>
              <w:left w:val="nil"/>
              <w:bottom w:val="single" w:color="000000" w:sz="12" w:space="0"/>
              <w:right w:val="nil"/>
            </w:tcBorders>
            <w:shd w:val="clear" w:color="auto" w:fill="FFFFFF"/>
          </w:tcPr>
          <w:p w14:paraId="2DDF6F92">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Constant γ=1.00 (No intervention)</w:t>
            </w:r>
          </w:p>
        </w:tc>
        <w:tc>
          <w:tcPr>
            <w:tcW w:w="0" w:type="auto"/>
            <w:tcBorders>
              <w:top w:val="nil"/>
              <w:left w:val="nil"/>
              <w:bottom w:val="single" w:color="000000" w:sz="12" w:space="0"/>
              <w:right w:val="nil"/>
            </w:tcBorders>
            <w:shd w:val="clear" w:color="auto" w:fill="FFFFFF"/>
          </w:tcPr>
          <w:p w14:paraId="4362CF66">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Single Controlled Variable</w:t>
            </w:r>
          </w:p>
        </w:tc>
      </w:tr>
    </w:tbl>
    <w:p w14:paraId="24B891FB">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34063AF0">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r>
        <w:rPr>
          <w:rFonts w:hint="default" w:ascii="Georgia" w:hAnsi="Georgia" w:eastAsia="等线" w:cs="Times New Roman"/>
          <w:b/>
          <w:bCs/>
          <w:i/>
          <w:iCs/>
          <w:kern w:val="2"/>
          <w:sz w:val="24"/>
          <w:szCs w:val="24"/>
          <w:lang w:val="en-US" w:eastAsia="zh-CN" w:bidi="ar-SA"/>
        </w:rPr>
        <w:t>Comment 3</w:t>
      </w:r>
      <w:r>
        <w:rPr>
          <w:rFonts w:hint="eastAsia" w:ascii="Georgia" w:hAnsi="Georgia" w:eastAsia="等线" w:cs="Times New Roman"/>
          <w:b/>
          <w:bCs/>
          <w:i/>
          <w:iCs/>
          <w:kern w:val="2"/>
          <w:sz w:val="24"/>
          <w:szCs w:val="24"/>
          <w:lang w:val="en-US" w:eastAsia="zh-CN" w:bidi="ar-SA"/>
        </w:rPr>
        <w:t>: Definition of Performance Function and Unmet Demand Metrics</w:t>
      </w:r>
    </w:p>
    <w:p w14:paraId="19E985C0">
      <w:pPr>
        <w:widowControl w:val="0"/>
        <w:ind w:leftChars="0"/>
        <w:jc w:val="both"/>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Reviewer Comment:</w:t>
      </w:r>
    </w:p>
    <w:p w14:paraId="5393C7AA">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The performance function used to calculate the resilience index is not sufficiently defined. Section 2.5 describes P(t) in qualitative terms, and the results appear to rely mainly on pressure. However, in a source-interruption scenario, maintaining pressure may be achieved by reducing outflow or curtailing demand. If unmet demand is not included in the performance metric, the RI may reflect preserved pressure rather than actual delivered water service.</w:t>
      </w:r>
    </w:p>
    <w:p w14:paraId="1C3DDE75">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358BA335">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Author Response:</w:t>
      </w:r>
    </w:p>
    <w:p w14:paraId="30FA0DA3">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We fully agree with Reviewer. This comment identifies a fundamental aspect of resilience quantification. Relying solely on a pressure-based metric can create an illusion of high resilience if pressure is maintained simply by shutting off supply.</w:t>
      </w:r>
    </w:p>
    <w:p w14:paraId="0BD4062C">
      <w:pPr>
        <w:widowControl w:val="0"/>
        <w:ind w:leftChars="0"/>
        <w:jc w:val="both"/>
        <w:rPr>
          <w:rFonts w:hint="default" w:ascii="Times New Roman" w:hAnsi="Times New Roman" w:cs="Times New Roman" w:eastAsiaTheme="minorEastAsia"/>
          <w:kern w:val="2"/>
          <w:sz w:val="24"/>
          <w:szCs w:val="24"/>
          <w:lang w:val="en-US" w:eastAsia="zh-CN" w:bidi="ar-SA"/>
        </w:rPr>
      </w:pPr>
    </w:p>
    <w:p w14:paraId="7F654B62">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To provide a completely honest, rigorous, and service-oriented evaluation, we restructured our performance framework into a dual-metric resilience formulation and performed full volumetric water accounting:</w:t>
      </w:r>
    </w:p>
    <w:p w14:paraId="45A7F476">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1. </w:t>
      </w:r>
      <w:r>
        <w:rPr>
          <w:rFonts w:hint="default" w:ascii="Times New Roman" w:hAnsi="Times New Roman" w:cs="Times New Roman" w:eastAsiaTheme="minorEastAsia"/>
          <w:b/>
          <w:bCs/>
          <w:kern w:val="2"/>
          <w:sz w:val="24"/>
          <w:szCs w:val="24"/>
          <w:lang w:val="en-US" w:eastAsia="zh-CN" w:bidi="ar-SA"/>
        </w:rPr>
        <w:t xml:space="preserve">Pressure Resilience Index (RIpressure): </w:t>
      </w:r>
      <w:r>
        <w:rPr>
          <w:rFonts w:hint="default" w:ascii="Times New Roman" w:hAnsi="Times New Roman" w:cs="Times New Roman" w:eastAsiaTheme="minorEastAsia"/>
          <w:kern w:val="2"/>
          <w:sz w:val="24"/>
          <w:szCs w:val="24"/>
          <w:lang w:val="en-US" w:eastAsia="zh-CN" w:bidi="ar-SA"/>
        </w:rPr>
        <w:t>Measures physical pipeline head preservation relative to baseline pressure P0.</w:t>
      </w:r>
    </w:p>
    <w:p w14:paraId="4C1359CF">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2. </w:t>
      </w:r>
      <w:r>
        <w:rPr>
          <w:rFonts w:hint="default" w:ascii="Times New Roman" w:hAnsi="Times New Roman" w:cs="Times New Roman" w:eastAsiaTheme="minorEastAsia"/>
          <w:b/>
          <w:bCs/>
          <w:kern w:val="2"/>
          <w:sz w:val="24"/>
          <w:szCs w:val="24"/>
          <w:lang w:val="en-US" w:eastAsia="zh-CN" w:bidi="ar-SA"/>
        </w:rPr>
        <w:t xml:space="preserve">Service Resilience Index (RIservice / DSR): </w:t>
      </w:r>
      <w:r>
        <w:rPr>
          <w:rFonts w:hint="default" w:ascii="Times New Roman" w:hAnsi="Times New Roman" w:cs="Times New Roman" w:eastAsiaTheme="minorEastAsia"/>
          <w:kern w:val="2"/>
          <w:sz w:val="24"/>
          <w:szCs w:val="24"/>
          <w:lang w:val="en-US" w:eastAsia="zh-CN" w:bidi="ar-SA"/>
        </w:rPr>
        <w:t>Evaluates actual delivered water service continuity, defined as the ratio of delivered flow Qdel(t) to uncurtailed nominal demand Qnom(t) using EPANET PDA (Demand Model = PDA, Preq=20 m,</w:t>
      </w:r>
      <w:r>
        <w:rPr>
          <w:rFonts w:hint="eastAsia"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Pmin=0 m).</w:t>
      </w:r>
    </w:p>
    <w:p w14:paraId="1BAEA2C5">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3. </w:t>
      </w:r>
      <w:r>
        <w:rPr>
          <w:rFonts w:hint="default" w:ascii="Times New Roman" w:hAnsi="Times New Roman" w:cs="Times New Roman" w:eastAsiaTheme="minorEastAsia"/>
          <w:b/>
          <w:bCs/>
          <w:kern w:val="2"/>
          <w:sz w:val="24"/>
          <w:szCs w:val="24"/>
          <w:lang w:val="en-US" w:eastAsia="zh-CN" w:bidi="ar-SA"/>
        </w:rPr>
        <w:t>Volumetric Accounting (Vdel and Vunmet):</w:t>
      </w:r>
      <w:r>
        <w:rPr>
          <w:rFonts w:hint="default" w:ascii="Times New Roman" w:hAnsi="Times New Roman" w:cs="Times New Roman" w:eastAsiaTheme="minorEastAsia"/>
          <w:kern w:val="2"/>
          <w:sz w:val="24"/>
          <w:szCs w:val="24"/>
          <w:lang w:val="en-US" w:eastAsia="zh-CN" w:bidi="ar-SA"/>
        </w:rPr>
        <w:t xml:space="preserve"> We explicitly calculate cumulative delivered water volume (Vdel) and cumulative unmet demand (Vunmet) over the 24-h fault horizon (t=24–48 h, Vreq =7,822.8 m3).</w:t>
      </w:r>
    </w:p>
    <w:p w14:paraId="0DF79843">
      <w:pPr>
        <w:widowControl w:val="0"/>
        <w:ind w:leftChars="0"/>
        <w:jc w:val="both"/>
        <w:rPr>
          <w:rFonts w:hint="default" w:ascii="Times New Roman" w:hAnsi="Times New Roman" w:cs="Times New Roman" w:eastAsiaTheme="minorEastAsia"/>
          <w:kern w:val="2"/>
          <w:sz w:val="24"/>
          <w:szCs w:val="24"/>
          <w:lang w:val="en-US" w:eastAsia="zh-CN" w:bidi="ar-SA"/>
        </w:rPr>
      </w:pPr>
    </w:p>
    <w:p w14:paraId="05BBD183">
      <w:pPr>
        <w:widowControl w:val="0"/>
        <w:ind w:leftChars="0"/>
        <w:jc w:val="both"/>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Core Quantitative Findings (t=24–48 h):</w:t>
      </w:r>
    </w:p>
    <w:p w14:paraId="0BB34066">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1. </w:t>
      </w:r>
      <w:r>
        <w:rPr>
          <w:rFonts w:hint="default" w:ascii="Times New Roman" w:hAnsi="Times New Roman" w:cs="Times New Roman" w:eastAsiaTheme="minorEastAsia"/>
          <w:b/>
          <w:bCs/>
          <w:kern w:val="2"/>
          <w:sz w:val="24"/>
          <w:szCs w:val="24"/>
          <w:lang w:val="en-US" w:eastAsia="zh-CN" w:bidi="ar-SA"/>
        </w:rPr>
        <w:t xml:space="preserve">Pressure Index (RIpressure): </w:t>
      </w:r>
      <w:r>
        <w:rPr>
          <w:rFonts w:hint="default" w:ascii="Times New Roman" w:hAnsi="Times New Roman" w:cs="Times New Roman" w:eastAsiaTheme="minorEastAsia"/>
          <w:kern w:val="2"/>
          <w:sz w:val="24"/>
          <w:szCs w:val="24"/>
          <w:lang w:val="en-US" w:eastAsia="zh-CN" w:bidi="ar-SA"/>
        </w:rPr>
        <w:t>Without EWM = 0.22, With EWM = 0.84 (Δ=+0.62).</w:t>
      </w:r>
    </w:p>
    <w:p w14:paraId="41915049">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2. </w:t>
      </w:r>
      <w:r>
        <w:rPr>
          <w:rFonts w:hint="default" w:ascii="Times New Roman" w:hAnsi="Times New Roman" w:cs="Times New Roman" w:eastAsiaTheme="minorEastAsia"/>
          <w:b/>
          <w:bCs/>
          <w:kern w:val="2"/>
          <w:sz w:val="24"/>
          <w:szCs w:val="24"/>
          <w:lang w:val="en-US" w:eastAsia="zh-CN" w:bidi="ar-SA"/>
        </w:rPr>
        <w:t xml:space="preserve">Service Index (RIservice): </w:t>
      </w:r>
      <w:r>
        <w:rPr>
          <w:rFonts w:hint="default" w:ascii="Times New Roman" w:hAnsi="Times New Roman" w:cs="Times New Roman" w:eastAsiaTheme="minorEastAsia"/>
          <w:kern w:val="2"/>
          <w:sz w:val="24"/>
          <w:szCs w:val="24"/>
          <w:lang w:val="en-US" w:eastAsia="zh-CN" w:bidi="ar-SA"/>
        </w:rPr>
        <w:t>Without EWM = 0.23, With EWM = 0.29 (Δ=+0.058).</w:t>
      </w:r>
    </w:p>
    <w:p w14:paraId="2C5C976D">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3. </w:t>
      </w:r>
      <w:r>
        <w:rPr>
          <w:rFonts w:hint="default" w:ascii="Times New Roman" w:hAnsi="Times New Roman" w:cs="Times New Roman" w:eastAsiaTheme="minorEastAsia"/>
          <w:b/>
          <w:bCs/>
          <w:kern w:val="2"/>
          <w:sz w:val="24"/>
          <w:szCs w:val="24"/>
          <w:lang w:val="en-US" w:eastAsia="zh-CN" w:bidi="ar-SA"/>
        </w:rPr>
        <w:t xml:space="preserve">Delivered Water Volume (Vdel): </w:t>
      </w:r>
      <w:r>
        <w:rPr>
          <w:rFonts w:hint="default" w:ascii="Times New Roman" w:hAnsi="Times New Roman" w:cs="Times New Roman" w:eastAsiaTheme="minorEastAsia"/>
          <w:kern w:val="2"/>
          <w:sz w:val="24"/>
          <w:szCs w:val="24"/>
          <w:lang w:val="en-US" w:eastAsia="zh-CN" w:bidi="ar-SA"/>
        </w:rPr>
        <w:t>Without EWM = 1,353.5 m3, With EWM = 1,843.1 m3 (+36.2% net gain, +489.6 m3).</w:t>
      </w:r>
    </w:p>
    <w:p w14:paraId="277A1D2A">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4. </w:t>
      </w:r>
      <w:r>
        <w:rPr>
          <w:rFonts w:hint="default" w:ascii="Times New Roman" w:hAnsi="Times New Roman" w:cs="Times New Roman" w:eastAsiaTheme="minorEastAsia"/>
          <w:b/>
          <w:bCs/>
          <w:kern w:val="2"/>
          <w:sz w:val="24"/>
          <w:szCs w:val="24"/>
          <w:lang w:val="en-US" w:eastAsia="zh-CN" w:bidi="ar-SA"/>
        </w:rPr>
        <w:t xml:space="preserve">Cumulative Unmet Demand (Vunmet): </w:t>
      </w:r>
      <w:r>
        <w:rPr>
          <w:rFonts w:hint="default" w:ascii="Times New Roman" w:hAnsi="Times New Roman" w:cs="Times New Roman" w:eastAsiaTheme="minorEastAsia"/>
          <w:kern w:val="2"/>
          <w:sz w:val="24"/>
          <w:szCs w:val="24"/>
          <w:lang w:val="en-US" w:eastAsia="zh-CN" w:bidi="ar-SA"/>
        </w:rPr>
        <w:t>Without EWM = 6,469.3 m3, With EWM = 5,979.7 m3(−8.8% net reduction, −489.6 m3).</w:t>
      </w:r>
    </w:p>
    <w:p w14:paraId="635DF6DB">
      <w:pPr>
        <w:widowControl w:val="0"/>
        <w:ind w:leftChars="0"/>
        <w:jc w:val="both"/>
        <w:rPr>
          <w:rFonts w:hint="default" w:ascii="Times New Roman" w:hAnsi="Times New Roman" w:cs="Times New Roman" w:eastAsiaTheme="minorEastAsia"/>
          <w:kern w:val="2"/>
          <w:sz w:val="24"/>
          <w:szCs w:val="24"/>
          <w:lang w:val="en-US" w:eastAsia="zh-CN" w:bidi="ar-SA"/>
        </w:rPr>
      </w:pPr>
    </w:p>
    <w:p w14:paraId="6D0C99CA">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Physical Mechanism Explanation:</w:t>
      </w:r>
      <w:r>
        <w:rPr>
          <w:rFonts w:hint="default" w:ascii="Times New Roman" w:hAnsi="Times New Roman" w:cs="Times New Roman" w:eastAsiaTheme="minorEastAsia"/>
          <w:kern w:val="2"/>
          <w:sz w:val="24"/>
          <w:szCs w:val="24"/>
          <w:lang w:val="en-US" w:eastAsia="zh-CN" w:bidi="ar-SA"/>
        </w:rPr>
        <w:t xml:space="preserve"> Why does curtailing demand increase total delivered water volume by +36.2%?</w:t>
      </w:r>
    </w:p>
    <w:p w14:paraId="63EA9867">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 </w:t>
      </w:r>
      <w:r>
        <w:rPr>
          <w:rFonts w:hint="default" w:ascii="Times New Roman" w:hAnsi="Times New Roman" w:cs="Times New Roman" w:eastAsiaTheme="minorEastAsia"/>
          <w:kern w:val="2"/>
          <w:sz w:val="24"/>
          <w:szCs w:val="24"/>
          <w:lang w:val="en-US" w:eastAsia="zh-CN" w:bidi="ar-SA"/>
        </w:rPr>
        <w:t>Without EWM: Uncurtailed 100% demand drains storage tanks in ∼6 h, triggering outlet pipe closure, resulting in 18 hours of complete zero supply (Vdel =1,353.5 m3).</w:t>
      </w:r>
    </w:p>
    <w:p w14:paraId="218370D3">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 </w:t>
      </w:r>
      <w:r>
        <w:rPr>
          <w:rFonts w:hint="default" w:ascii="Times New Roman" w:hAnsi="Times New Roman" w:cs="Times New Roman" w:eastAsiaTheme="minorEastAsia"/>
          <w:kern w:val="2"/>
          <w:sz w:val="24"/>
          <w:szCs w:val="24"/>
          <w:lang w:val="en-US" w:eastAsia="zh-CN" w:bidi="ar-SA"/>
        </w:rPr>
        <w:t>With EWM: Graded demand curtailment (70%→40%→20%) slows tank drainage, keeping outlet pipes open, providing 24 hours of continuous low-rate water supply (Vdel =1,843.1 m3).</w:t>
      </w:r>
    </w:p>
    <w:p w14:paraId="06A8A4A0">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3. </w:t>
      </w:r>
      <w:r>
        <w:rPr>
          <w:rFonts w:hint="default" w:ascii="Times New Roman" w:hAnsi="Times New Roman" w:cs="Times New Roman" w:eastAsiaTheme="minorEastAsia"/>
          <w:kern w:val="2"/>
          <w:sz w:val="24"/>
          <w:szCs w:val="24"/>
          <w:lang w:val="en-US" w:eastAsia="zh-CN" w:bidi="ar-SA"/>
        </w:rPr>
        <w:t>Continuous 24-h low-rate supply delivers 489.6 m3</w:t>
      </w:r>
      <w:r>
        <w:rPr>
          <w:rFonts w:hint="eastAsia"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more water than 6 hours of full supply followed by 18 hours of total blackout.</w:t>
      </w:r>
    </w:p>
    <w:p w14:paraId="32C4373A">
      <w:pPr>
        <w:widowControl w:val="0"/>
        <w:ind w:leftChars="0"/>
        <w:jc w:val="both"/>
        <w:rPr>
          <w:rFonts w:hint="default" w:ascii="Times New Roman" w:hAnsi="Times New Roman" w:cs="Times New Roman" w:eastAsiaTheme="minorEastAsia"/>
          <w:kern w:val="2"/>
          <w:sz w:val="24"/>
          <w:szCs w:val="24"/>
          <w:lang w:val="en-US" w:eastAsia="zh-CN" w:bidi="ar-SA"/>
        </w:rPr>
      </w:pPr>
    </w:p>
    <w:p w14:paraId="5B56AFE4">
      <w:pPr>
        <w:widowControl w:val="0"/>
        <w:ind w:leftChars="0"/>
        <w:jc w:val="both"/>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Changes in Manuscript:</w:t>
      </w:r>
    </w:p>
    <w:p w14:paraId="00E571CD">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In Sections 2.5 and 3.1, the dual-metric formulation and Table 4 have been added:</w:t>
      </w:r>
    </w:p>
    <w:p w14:paraId="30754686">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1D38ABB3">
      <w:pPr>
        <w:widowControl w:val="0"/>
        <w:ind w:leftChars="0"/>
        <w:jc w:val="both"/>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2.5 Dual Resilience Metrics and Volumetric Accounting Formulation</w:t>
      </w:r>
    </w:p>
    <w:p w14:paraId="1A084E42">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To distinguish between pipeline pressure maintenance and actual water service delivery, a dual-metric resilience evaluation framework is established. The actual delivered nodal flow Qdel,j(t) is governed by EPANET Pressure-Driven Analysis (PDA):</w:t>
      </w:r>
    </w:p>
    <w:p w14:paraId="1A471094">
      <w:pPr>
        <w:widowControl w:val="0"/>
        <w:ind w:leftChars="0"/>
        <w:jc w:val="both"/>
        <w:rPr>
          <w:rFonts w:hAnsi="Cambria Math" w:cs="Cambria Math"/>
          <w:i/>
          <w:iCs/>
          <w:kern w:val="2"/>
          <w:sz w:val="24"/>
          <w:szCs w:val="24"/>
          <w:lang w:val="en-US" w:bidi="ar-SA"/>
        </w:rPr>
      </w:pPr>
      <m:oMathPara>
        <m:oMath>
          <m:sSub>
            <m:sSubPr>
              <m:ctrlPr>
                <w:rPr>
                  <w:rFonts w:ascii="Cambria Math" w:hAnsi="Cambria Math" w:cs="Times New Roman"/>
                  <w:i/>
                  <w:iCs/>
                  <w:kern w:val="2"/>
                  <w:sz w:val="24"/>
                  <w:szCs w:val="24"/>
                  <w:lang w:val="en-US" w:bidi="ar-SA"/>
                </w:rPr>
              </m:ctrlPr>
            </m:sSubPr>
            <m:e>
              <m:r>
                <m:rPr/>
                <w:rPr>
                  <w:rFonts w:hint="default" w:ascii="Cambria Math" w:hAnsi="Cambria Math" w:cs="Times New Roman"/>
                  <w:kern w:val="2"/>
                  <w:sz w:val="24"/>
                  <w:szCs w:val="24"/>
                  <w:lang w:val="en-US" w:eastAsia="zh-CN" w:bidi="ar-SA"/>
                </w:rPr>
                <m:t>Q</m:t>
              </m:r>
              <m:ctrlPr>
                <w:rPr>
                  <w:rFonts w:ascii="Cambria Math" w:hAnsi="Cambria Math" w:cs="Times New Roman"/>
                  <w:i/>
                  <w:iCs/>
                  <w:kern w:val="2"/>
                  <w:sz w:val="24"/>
                  <w:szCs w:val="24"/>
                  <w:lang w:val="en-US" w:bidi="ar-SA"/>
                </w:rPr>
              </m:ctrlPr>
            </m:e>
            <m:sub>
              <m:r>
                <m:rPr/>
                <w:rPr>
                  <w:rFonts w:hint="default" w:ascii="Cambria Math" w:hAnsi="Cambria Math" w:cs="Times New Roman"/>
                  <w:kern w:val="2"/>
                  <w:sz w:val="24"/>
                  <w:szCs w:val="24"/>
                  <w:lang w:val="en-US" w:eastAsia="zh-CN" w:bidi="ar-SA"/>
                </w:rPr>
                <m:t>del, j</m:t>
              </m:r>
              <m:ctrlPr>
                <w:rPr>
                  <w:rFonts w:ascii="Cambria Math" w:hAnsi="Cambria Math" w:cs="Times New Roman"/>
                  <w:i/>
                  <w:iCs/>
                  <w:kern w:val="2"/>
                  <w:sz w:val="24"/>
                  <w:szCs w:val="24"/>
                  <w:lang w:val="en-US" w:bidi="ar-SA"/>
                </w:rPr>
              </m:ctrlPr>
            </m:sub>
          </m:sSub>
          <m:d>
            <m:dPr>
              <m:ctrlPr>
                <w:rPr>
                  <w:rFonts w:ascii="Cambria Math" w:hAnsi="Cambria Math" w:cs="Times New Roman"/>
                  <w:i/>
                  <w:iCs/>
                  <w:kern w:val="2"/>
                  <w:sz w:val="24"/>
                  <w:szCs w:val="24"/>
                  <w:lang w:val="en-US" w:bidi="ar-SA"/>
                </w:rPr>
              </m:ctrlPr>
            </m:dPr>
            <m:e>
              <m:r>
                <m:rPr/>
                <w:rPr>
                  <w:rFonts w:hint="default" w:ascii="Cambria Math" w:hAnsi="Cambria Math" w:cs="Times New Roman"/>
                  <w:kern w:val="2"/>
                  <w:sz w:val="24"/>
                  <w:szCs w:val="24"/>
                  <w:lang w:val="en-US" w:eastAsia="zh-CN" w:bidi="ar-SA"/>
                </w:rPr>
                <m:t>t</m:t>
              </m:r>
              <m:ctrlPr>
                <w:rPr>
                  <w:rFonts w:ascii="Cambria Math" w:hAnsi="Cambria Math" w:cs="Times New Roman"/>
                  <w:i/>
                  <w:iCs/>
                  <w:kern w:val="2"/>
                  <w:sz w:val="24"/>
                  <w:szCs w:val="24"/>
                  <w:lang w:val="en-US" w:bidi="ar-SA"/>
                </w:rPr>
              </m:ctrlPr>
            </m:e>
          </m:d>
          <m:r>
            <m:rPr/>
            <w:rPr>
              <w:rFonts w:hint="default" w:ascii="Cambria Math" w:hAnsi="Cambria Math" w:cs="Cambria Math"/>
              <w:kern w:val="2"/>
              <w:sz w:val="24"/>
              <w:szCs w:val="24"/>
              <w:lang w:val="en-US" w:bidi="ar-SA"/>
            </w:rPr>
            <m:t>=</m:t>
          </m:r>
          <m:d>
            <m:dPr>
              <m:begChr m:val="{"/>
              <m:endChr m:val=""/>
              <m:ctrlPr>
                <w:rPr>
                  <w:rFonts w:hint="default" w:ascii="Cambria Math" w:hAnsi="Cambria Math" w:cs="Cambria Math"/>
                  <w:i/>
                  <w:iCs/>
                  <w:kern w:val="2"/>
                  <w:sz w:val="24"/>
                  <w:szCs w:val="24"/>
                  <w:lang w:val="en-US" w:bidi="ar-SA"/>
                </w:rPr>
              </m:ctrlPr>
            </m:dPr>
            <m:e>
              <m:eqArr>
                <m:eqArrPr>
                  <m:ctrlPr>
                    <w:rPr>
                      <w:rFonts w:hint="default" w:ascii="Cambria Math" w:hAnsi="Cambria Math" w:cs="Cambria Math"/>
                      <w:i/>
                      <w:iCs/>
                      <w:kern w:val="2"/>
                      <w:sz w:val="24"/>
                      <w:szCs w:val="24"/>
                      <w:lang w:val="en-US" w:bidi="ar-SA"/>
                    </w:rPr>
                  </m:ctrlPr>
                </m:eqArrPr>
                <m:e>
                  <m:sSub>
                    <m:sSubPr>
                      <m:ctrlPr>
                        <w:rPr>
                          <w:rFonts w:hint="default"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 j</m:t>
                      </m:r>
                      <m:ctrlPr>
                        <w:rPr>
                          <w:rFonts w:hint="default" w:ascii="Cambria Math" w:hAnsi="Cambria Math" w:cs="Cambria Math"/>
                          <w:i/>
                          <w:iCs/>
                          <w:kern w:val="2"/>
                          <w:sz w:val="24"/>
                          <w:szCs w:val="24"/>
                          <w:lang w:val="en-US" w:bidi="ar-SA"/>
                        </w:rPr>
                      </m:ctrlPr>
                    </m:sub>
                  </m:sSub>
                  <m:d>
                    <m:dPr>
                      <m:ctrlPr>
                        <w:rPr>
                          <w:rFonts w:hint="default" w:ascii="Cambria Math" w:hAnsi="Cambria Math" w:cs="Cambria Math"/>
                          <w:i/>
                          <w:iCs/>
                          <w:kern w:val="2"/>
                          <w:sz w:val="24"/>
                          <w:szCs w:val="24"/>
                          <w:lang w:val="en-US"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bidi="ar-SA"/>
                        </w:rPr>
                      </m:ctrlPr>
                    </m:e>
                  </m:d>
                  <m:r>
                    <m:rPr/>
                    <w:rPr>
                      <w:rFonts w:hint="default" w:ascii="Cambria Math" w:hAnsi="Cambria Math" w:cs="Cambria Math"/>
                      <w:kern w:val="2"/>
                      <w:sz w:val="24"/>
                      <w:szCs w:val="24"/>
                      <w:lang w:val="en-US" w:eastAsia="zh-CN" w:bidi="ar-SA"/>
                    </w:rPr>
                    <m:t xml:space="preserve">, if </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ascii="Cambria Math" w:hAnsi="Cambria Math" w:cs="Cambria Math"/>
                      <w:kern w:val="2"/>
                      <w:sz w:val="24"/>
                      <w:szCs w:val="24"/>
                      <w:lang w:val="en-US" w:bidi="ar-SA"/>
                    </w:rPr>
                    <m:t>≥</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m:t>
                      </m:r>
                      <m:ctrlPr>
                        <w:rPr>
                          <w:rFonts w:ascii="Cambria Math" w:hAnsi="Cambria Math" w:cs="Cambria Math"/>
                          <w:i/>
                          <w:iCs/>
                          <w:kern w:val="2"/>
                          <w:sz w:val="24"/>
                          <w:szCs w:val="24"/>
                          <w:lang w:val="en-US" w:bidi="ar-SA"/>
                        </w:rPr>
                      </m:ctrlPr>
                    </m:sub>
                  </m:sSub>
                  <m:ctrlPr>
                    <w:rPr>
                      <w:rFonts w:hint="default" w:ascii="Cambria Math" w:hAnsi="Cambria Math" w:cs="Cambria Math"/>
                      <w:i/>
                      <w:iCs/>
                      <w:kern w:val="2"/>
                      <w:sz w:val="24"/>
                      <w:szCs w:val="24"/>
                      <w:lang w:val="en-US" w:bidi="ar-SA"/>
                    </w:rPr>
                  </m:ctrlPr>
                </m:e>
                <m:e>
                  <m:sSub>
                    <m:sSubPr>
                      <m:ctrlPr>
                        <w:rPr>
                          <w:rFonts w:hint="default"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 j</m:t>
                      </m:r>
                      <m:ctrlPr>
                        <w:rPr>
                          <w:rFonts w:hint="default" w:ascii="Cambria Math" w:hAnsi="Cambria Math" w:cs="Cambria Math"/>
                          <w:i/>
                          <w:iCs/>
                          <w:kern w:val="2"/>
                          <w:sz w:val="24"/>
                          <w:szCs w:val="24"/>
                          <w:lang w:val="en-US" w:bidi="ar-SA"/>
                        </w:rPr>
                      </m:ctrlPr>
                    </m:sub>
                  </m:sSub>
                  <m:d>
                    <m:dPr>
                      <m:ctrlPr>
                        <w:rPr>
                          <w:rFonts w:hint="default" w:ascii="Cambria Math" w:hAnsi="Cambria Math" w:cs="Cambria Math"/>
                          <w:i/>
                          <w:iCs/>
                          <w:kern w:val="2"/>
                          <w:sz w:val="24"/>
                          <w:szCs w:val="24"/>
                          <w:lang w:val="en-US"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bidi="ar-SA"/>
                        </w:rPr>
                      </m:ctrlPr>
                    </m:e>
                  </m:d>
                  <m:r>
                    <m:rPr/>
                    <w:rPr>
                      <w:rFonts w:ascii="Cambria Math" w:hAnsi="Cambria Math" w:cs="Cambria Math"/>
                      <w:kern w:val="2"/>
                      <w:sz w:val="24"/>
                      <w:szCs w:val="24"/>
                      <w:lang w:val="en-US" w:bidi="ar-SA"/>
                    </w:rPr>
                    <m:t>∙</m:t>
                  </m:r>
                  <m:sSup>
                    <m:sSupPr>
                      <m:ctrlPr>
                        <w:rPr>
                          <w:rFonts w:ascii="Cambria Math" w:hAnsi="Cambria Math" w:cs="Cambria Math"/>
                          <w:i/>
                          <w:iCs/>
                          <w:kern w:val="2"/>
                          <w:sz w:val="24"/>
                          <w:szCs w:val="24"/>
                          <w:lang w:val="en-US" w:bidi="ar-SA"/>
                        </w:rPr>
                      </m:ctrlPr>
                    </m:sSupPr>
                    <m:e>
                      <m:d>
                        <m:dPr>
                          <m:ctrlPr>
                            <w:rPr>
                              <w:rFonts w:ascii="Cambria Math" w:hAnsi="Cambria Math" w:cs="Cambria Math"/>
                              <w:i/>
                              <w:iCs/>
                              <w:kern w:val="2"/>
                              <w:sz w:val="24"/>
                              <w:szCs w:val="24"/>
                              <w:lang w:val="en-US" w:bidi="ar-SA"/>
                            </w:rPr>
                          </m:ctrlPr>
                        </m:dPr>
                        <m:e>
                          <m:f>
                            <m:fPr>
                              <m:ctrlPr>
                                <w:rPr>
                                  <w:rFonts w:ascii="Cambria Math" w:hAnsi="Cambria Math" w:cs="Cambria Math"/>
                                  <w:i/>
                                  <w:iCs/>
                                  <w:kern w:val="2"/>
                                  <w:sz w:val="24"/>
                                  <w:szCs w:val="24"/>
                                  <w:lang w:val="en-US" w:bidi="ar-SA"/>
                                </w:rPr>
                              </m:ctrlPr>
                            </m:fPr>
                            <m:num>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j</m:t>
                                  </m:r>
                                  <m:ctrlPr>
                                    <w:rPr>
                                      <w:rFonts w:ascii="Cambria Math" w:hAnsi="Cambria Math" w:cs="Cambria Math"/>
                                      <w:i/>
                                      <w:iCs/>
                                      <w:kern w:val="2"/>
                                      <w:sz w:val="24"/>
                                      <w:szCs w:val="24"/>
                                      <w:lang w:val="en-US" w:bidi="ar-SA"/>
                                    </w:rPr>
                                  </m:ctrlPr>
                                </m:sub>
                              </m:sSub>
                              <m:d>
                                <m:dPr>
                                  <m:ctrlPr>
                                    <w:rPr>
                                      <w:rFonts w:ascii="Cambria Math" w:hAnsi="Cambria Math" w:cs="Cambria Math"/>
                                      <w:i/>
                                      <w:iCs/>
                                      <w:kern w:val="2"/>
                                      <w:sz w:val="24"/>
                                      <w:szCs w:val="24"/>
                                      <w:lang w:val="en-US" w:bidi="ar-SA"/>
                                    </w:rPr>
                                  </m:ctrlPr>
                                </m:dPr>
                                <m:e>
                                  <m:r>
                                    <m:rPr/>
                                    <w:rPr>
                                      <w:rFonts w:hint="default" w:ascii="Cambria Math" w:hAnsi="Cambria Math" w:cs="Cambria Math"/>
                                      <w:kern w:val="2"/>
                                      <w:sz w:val="24"/>
                                      <w:szCs w:val="24"/>
                                      <w:lang w:val="en-US" w:eastAsia="zh-CN" w:bidi="ar-SA"/>
                                    </w:rPr>
                                    <m:t>t</m:t>
                                  </m:r>
                                  <m:ctrlPr>
                                    <w:rPr>
                                      <w:rFonts w:ascii="Cambria Math" w:hAnsi="Cambria Math" w:cs="Cambria Math"/>
                                      <w:i/>
                                      <w:iCs/>
                                      <w:kern w:val="2"/>
                                      <w:sz w:val="24"/>
                                      <w:szCs w:val="24"/>
                                      <w:lang w:val="en-US" w:bidi="ar-SA"/>
                                    </w:rPr>
                                  </m:ctrlPr>
                                </m:e>
                              </m:d>
                              <m:r>
                                <m:rPr/>
                                <w:rPr>
                                  <w:rFonts w:ascii="Cambria Math" w:hAnsi="Cambria Math" w:cs="Cambria Math"/>
                                  <w:kern w:val="2"/>
                                  <w:sz w:val="24"/>
                                  <w:szCs w:val="24"/>
                                  <w:lang w:val="en-US" w:bidi="ar-SA"/>
                                </w:rPr>
                                <m:t>−</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iCs/>
                                      <w:kern w:val="2"/>
                                      <w:sz w:val="24"/>
                                      <w:szCs w:val="24"/>
                                      <w:lang w:val="en-US" w:bidi="ar-SA"/>
                                    </w:rPr>
                                  </m:ctrlPr>
                                </m:sub>
                              </m:sSub>
                              <m:ctrlPr>
                                <w:rPr>
                                  <w:rFonts w:ascii="Cambria Math" w:hAnsi="Cambria Math" w:cs="Cambria Math"/>
                                  <w:i/>
                                  <w:iCs/>
                                  <w:kern w:val="2"/>
                                  <w:sz w:val="24"/>
                                  <w:szCs w:val="24"/>
                                  <w:lang w:val="en-US" w:bidi="ar-SA"/>
                                </w:rPr>
                              </m:ctrlPr>
                            </m:num>
                            <m:den>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m:t>
                                  </m:r>
                                  <m:ctrlPr>
                                    <w:rPr>
                                      <w:rFonts w:ascii="Cambria Math" w:hAnsi="Cambria Math" w:cs="Cambria Math"/>
                                      <w:i/>
                                      <w:iCs/>
                                      <w:kern w:val="2"/>
                                      <w:sz w:val="24"/>
                                      <w:szCs w:val="24"/>
                                      <w:lang w:val="en-US" w:bidi="ar-SA"/>
                                    </w:rPr>
                                  </m:ctrlPr>
                                </m:sub>
                              </m:sSub>
                              <m:r>
                                <m:rPr/>
                                <w:rPr>
                                  <w:rFonts w:ascii="Cambria Math" w:hAnsi="Cambria Math" w:cs="Cambria Math"/>
                                  <w:kern w:val="2"/>
                                  <w:sz w:val="24"/>
                                  <w:szCs w:val="24"/>
                                  <w:lang w:val="en-US" w:bidi="ar-SA"/>
                                </w:rPr>
                                <m:t>−</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min</m:t>
                                  </m:r>
                                  <m:ctrlPr>
                                    <w:rPr>
                                      <w:rFonts w:ascii="Cambria Math" w:hAnsi="Cambria Math" w:cs="Cambria Math"/>
                                      <w:i/>
                                      <w:iCs/>
                                      <w:kern w:val="2"/>
                                      <w:sz w:val="24"/>
                                      <w:szCs w:val="24"/>
                                      <w:lang w:val="en-US" w:bidi="ar-SA"/>
                                    </w:rPr>
                                  </m:ctrlPr>
                                </m:sub>
                              </m:sSub>
                              <m:ctrlPr>
                                <w:rPr>
                                  <w:rFonts w:ascii="Cambria Math" w:hAnsi="Cambria Math" w:cs="Cambria Math"/>
                                  <w:i/>
                                  <w:iCs/>
                                  <w:kern w:val="2"/>
                                  <w:sz w:val="24"/>
                                  <w:szCs w:val="24"/>
                                  <w:lang w:val="en-US" w:bidi="ar-SA"/>
                                </w:rPr>
                              </m:ctrlPr>
                            </m:den>
                          </m:f>
                          <m:ctrlPr>
                            <w:rPr>
                              <w:rFonts w:ascii="Cambria Math" w:hAnsi="Cambria Math" w:cs="Cambria Math"/>
                              <w:i/>
                              <w:iCs/>
                              <w:kern w:val="2"/>
                              <w:sz w:val="24"/>
                              <w:szCs w:val="24"/>
                              <w:lang w:val="en-US" w:bidi="ar-SA"/>
                            </w:rPr>
                          </m:ctrlPr>
                        </m:e>
                      </m:d>
                      <m:ctrlPr>
                        <w:rPr>
                          <w:rFonts w:ascii="Cambria Math" w:hAnsi="Cambria Math" w:cs="Cambria Math"/>
                          <w:i/>
                          <w:iCs/>
                          <w:kern w:val="2"/>
                          <w:sz w:val="24"/>
                          <w:szCs w:val="24"/>
                          <w:lang w:val="en-US" w:bidi="ar-SA"/>
                        </w:rPr>
                      </m:ctrlPr>
                    </m:e>
                    <m:sup>
                      <m:r>
                        <m:rPr/>
                        <w:rPr>
                          <w:rFonts w:ascii="Cambria Math" w:hAnsi="Cambria Math" w:cs="Cambria Math"/>
                          <w:kern w:val="2"/>
                          <w:sz w:val="24"/>
                          <w:szCs w:val="24"/>
                          <w:lang w:val="en-US" w:bidi="ar-SA"/>
                        </w:rPr>
                        <m:t>α</m:t>
                      </m:r>
                      <m:ctrlPr>
                        <w:rPr>
                          <w:rFonts w:ascii="Cambria Math" w:hAnsi="Cambria Math" w:cs="Cambria Math"/>
                          <w:i/>
                          <w:iCs/>
                          <w:kern w:val="2"/>
                          <w:sz w:val="24"/>
                          <w:szCs w:val="24"/>
                          <w:lang w:val="en-US" w:bidi="ar-SA"/>
                        </w:rPr>
                      </m:ctrlPr>
                    </m:sup>
                  </m:sSup>
                  <m:ctrlPr>
                    <w:rPr>
                      <w:rFonts w:hint="default" w:ascii="Cambria Math" w:hAnsi="Cambria Math" w:cs="Cambria Math"/>
                      <w:i/>
                      <w:iCs/>
                      <w:kern w:val="2"/>
                      <w:sz w:val="24"/>
                      <w:szCs w:val="24"/>
                      <w:lang w:val="en-US" w:bidi="ar-SA"/>
                    </w:rPr>
                  </m:ctrlPr>
                </m:e>
                <m:e>
                  <m:r>
                    <m:rPr/>
                    <w:rPr>
                      <w:rFonts w:hint="default" w:ascii="Cambria Math" w:hAnsi="Cambria Math" w:cs="Cambria Math"/>
                      <w:kern w:val="2"/>
                      <w:sz w:val="24"/>
                      <w:szCs w:val="24"/>
                      <w:lang w:val="en-US" w:eastAsia="zh-CN" w:bidi="ar-SA"/>
                    </w:rPr>
                    <m:t xml:space="preserve">0, if </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ascii="Cambria Math" w:hAnsi="Cambria Math" w:cs="Cambria Math"/>
                      <w:kern w:val="2"/>
                      <w:sz w:val="24"/>
                      <w:szCs w:val="24"/>
                      <w:lang w:val="en-US" w:bidi="ar-SA"/>
                    </w:rPr>
                    <m: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iCs/>
                          <w:kern w:val="2"/>
                          <w:sz w:val="24"/>
                          <w:szCs w:val="24"/>
                          <w:lang w:val="en-US" w:eastAsia="zh-CN" w:bidi="ar-SA"/>
                        </w:rPr>
                      </m:ctrlPr>
                    </m:sub>
                  </m:sSub>
                  <m:ctrlPr>
                    <w:rPr>
                      <w:rFonts w:hint="default" w:ascii="Cambria Math" w:hAnsi="Cambria Math" w:cs="Cambria Math"/>
                      <w:i/>
                      <w:iCs/>
                      <w:kern w:val="2"/>
                      <w:sz w:val="24"/>
                      <w:szCs w:val="24"/>
                      <w:lang w:val="en-US" w:bidi="ar-SA"/>
                    </w:rPr>
                  </m:ctrlPr>
                </m:e>
              </m:eqArr>
              <m:ctrlPr>
                <w:rPr>
                  <w:rFonts w:hint="default" w:ascii="Cambria Math" w:hAnsi="Cambria Math" w:cs="Cambria Math"/>
                  <w:i/>
                  <w:iCs/>
                  <w:kern w:val="2"/>
                  <w:sz w:val="24"/>
                  <w:szCs w:val="24"/>
                  <w:lang w:val="en-US" w:bidi="ar-SA"/>
                </w:rPr>
              </m:ctrlPr>
            </m:e>
          </m:d>
          <m:r>
            <m:rPr/>
            <w:rPr>
              <w:rFonts w:hint="default" w:ascii="Cambria Math" w:hAnsi="Cambria Math" w:cs="Cambria Math"/>
              <w:kern w:val="2"/>
              <w:sz w:val="24"/>
              <w:szCs w:val="24"/>
              <w:lang w:val="en-US" w:eastAsia="zh-CN" w:bidi="ar-SA"/>
            </w:rPr>
            <m:t xml:space="preserve">, if </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min</m:t>
              </m:r>
              <m:ctrlPr>
                <w:rPr>
                  <w:rFonts w:hint="default" w:ascii="Cambria Math" w:hAnsi="Cambria Math" w:cs="Cambria Math"/>
                  <w:i/>
                  <w:iCs/>
                  <w:kern w:val="2"/>
                  <w:sz w:val="24"/>
                  <w:szCs w:val="24"/>
                  <w:lang w:val="en-US" w:eastAsia="zh-CN" w:bidi="ar-SA"/>
                </w:rPr>
              </m:ctrlPr>
            </m:sub>
          </m:sSub>
          <m:r>
            <m:rPr/>
            <w:rPr>
              <w:rFonts w:hint="default" w:ascii="Cambria Math" w:hAnsi="Cambria Math" w:cs="Cambria Math"/>
              <w:kern w:val="2"/>
              <w:sz w:val="24"/>
              <w:szCs w:val="24"/>
              <w:lang w:val="en-US" w:eastAsia="zh-CN" w:bidi="ar-SA"/>
            </w:rPr>
            <m:t xml:space="preserve"> &lt;</m:t>
          </m:r>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H</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ascii="Cambria Math" w:hAnsi="Cambria Math" w:cs="Cambria Math"/>
              <w:kern w:val="2"/>
              <w:sz w:val="24"/>
              <w:szCs w:val="24"/>
              <w:lang w:val="en-US" w:bidi="ar-SA"/>
            </w:rPr>
            <m:t>&lt;</m:t>
          </m:r>
          <m:r>
            <m:rPr/>
            <w:rPr>
              <w:rFonts w:hint="default" w:ascii="Cambria Math" w:hAnsi="Cambria Math" w:cs="Cambria Math"/>
              <w:kern w:val="2"/>
              <w:sz w:val="24"/>
              <w:szCs w:val="24"/>
              <w:lang w:val="en-US" w:eastAsia="zh-CN" w:bidi="ar-SA"/>
            </w:rPr>
            <m:t xml:space="preserve">  </m:t>
          </m:r>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H</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reg</m:t>
              </m:r>
              <m:ctrlPr>
                <w:rPr>
                  <w:rFonts w:ascii="Cambria Math" w:hAnsi="Cambria Math" w:cs="Cambria Math"/>
                  <w:i/>
                  <w:iCs/>
                  <w:kern w:val="2"/>
                  <w:sz w:val="24"/>
                  <w:szCs w:val="24"/>
                  <w:lang w:val="en-US" w:bidi="ar-SA"/>
                </w:rPr>
              </m:ctrlPr>
            </m:sub>
          </m:sSub>
        </m:oMath>
      </m:oMathPara>
    </w:p>
    <w:p w14:paraId="0ECD60D4">
      <w:pPr>
        <w:widowControl w:val="0"/>
        <w:ind w:leftChars="0"/>
        <w:jc w:val="both"/>
        <w:rPr>
          <w:rFonts w:hint="eastAsia" w:ascii="Times New Roman" w:hAnsi="Times New Roman" w:cs="Times New Roman" w:eastAsiaTheme="minorEastAsia"/>
          <w:i/>
          <w:iCs/>
          <w:kern w:val="2"/>
          <w:sz w:val="24"/>
          <w:szCs w:val="24"/>
          <w:lang w:val="en-US" w:eastAsia="zh-CN" w:bidi="ar-SA"/>
        </w:rPr>
      </w:pPr>
      <w:r>
        <w:rPr>
          <w:rFonts w:hint="eastAsia" w:ascii="Times New Roman" w:hAnsi="Times New Roman" w:cs="Times New Roman" w:eastAsiaTheme="minorEastAsia"/>
          <w:i/>
          <w:iCs/>
          <w:kern w:val="2"/>
          <w:sz w:val="24"/>
          <w:szCs w:val="24"/>
          <w:lang w:val="en-US" w:eastAsia="zh-CN" w:bidi="ar-SA"/>
        </w:rPr>
        <w:t>1. Pressure Resilience Index</w:t>
      </w:r>
      <m:oMath>
        <m:d>
          <m:dPr>
            <m:ctrlPr>
              <w:rPr>
                <w:rFonts w:hint="default" w:ascii="Cambria Math" w:hAnsi="Cambria Math" w:cs="Times New Roman" w:eastAsiaTheme="minorEastAsia"/>
                <w:i/>
                <w:iCs/>
                <w:kern w:val="2"/>
                <w:sz w:val="24"/>
                <w:szCs w:val="24"/>
                <w:lang w:val="en-US" w:eastAsia="zh-CN" w:bidi="ar-SA"/>
              </w:rPr>
            </m:ctrlPr>
          </m:dPr>
          <m:e>
            <m:sSub>
              <m:sSubPr>
                <m:ctrlPr>
                  <w:rPr>
                    <w:rFonts w:hint="default" w:ascii="Cambria Math" w:hAnsi="Cambria Math" w:cs="Times New Roman" w:eastAsiaTheme="minorEastAsia"/>
                    <w:i/>
                    <w:iCs/>
                    <w:kern w:val="2"/>
                    <w:sz w:val="24"/>
                    <w:szCs w:val="24"/>
                    <w:lang w:val="en-US" w:eastAsia="zh-CN" w:bidi="ar-SA"/>
                  </w:rPr>
                </m:ctrlPr>
              </m:sSubPr>
              <m:e>
                <m:r>
                  <m:rPr/>
                  <w:rPr>
                    <w:rFonts w:hint="default" w:ascii="Times New Roman" w:hAnsi="Times New Roman" w:cs="Times New Roman" w:eastAsiaTheme="minorEastAsia"/>
                    <w:kern w:val="2"/>
                    <w:sz w:val="24"/>
                    <w:szCs w:val="24"/>
                    <w:lang w:val="en-US" w:eastAsia="zh-CN" w:bidi="ar-SA"/>
                  </w:rPr>
                  <m:t>RI</m:t>
                </m:r>
                <m:ctrlPr>
                  <w:rPr>
                    <w:rFonts w:hint="default" w:ascii="Cambria Math" w:hAnsi="Cambria Math" w:cs="Times New Roman" w:eastAsiaTheme="minorEastAsia"/>
                    <w:i/>
                    <w:iCs/>
                    <w:kern w:val="2"/>
                    <w:sz w:val="24"/>
                    <w:szCs w:val="24"/>
                    <w:lang w:val="en-US" w:eastAsia="zh-CN" w:bidi="ar-SA"/>
                  </w:rPr>
                </m:ctrlPr>
              </m:e>
              <m:sub>
                <m:r>
                  <m:rPr/>
                  <w:rPr>
                    <w:rFonts w:hint="default" w:ascii="Times New Roman" w:hAnsi="Times New Roman" w:cs="Times New Roman" w:eastAsiaTheme="minorEastAsia"/>
                    <w:kern w:val="2"/>
                    <w:sz w:val="24"/>
                    <w:szCs w:val="24"/>
                    <w:lang w:val="en-US" w:eastAsia="zh-CN" w:bidi="ar-SA"/>
                  </w:rPr>
                  <m:t>pressure</m:t>
                </m:r>
                <m:ctrlPr>
                  <w:rPr>
                    <w:rFonts w:hint="default" w:ascii="Cambria Math" w:hAnsi="Cambria Math" w:cs="Times New Roman" w:eastAsiaTheme="minorEastAsia"/>
                    <w:i/>
                    <w:iCs/>
                    <w:kern w:val="2"/>
                    <w:sz w:val="24"/>
                    <w:szCs w:val="24"/>
                    <w:lang w:val="en-US" w:eastAsia="zh-CN" w:bidi="ar-SA"/>
                  </w:rPr>
                </m:ctrlPr>
              </m:sub>
            </m:sSub>
            <m:ctrlPr>
              <w:rPr>
                <w:rFonts w:hint="default" w:ascii="Cambria Math" w:hAnsi="Cambria Math" w:cs="Times New Roman" w:eastAsiaTheme="minorEastAsia"/>
                <w:i/>
                <w:iCs/>
                <w:kern w:val="2"/>
                <w:sz w:val="24"/>
                <w:szCs w:val="24"/>
                <w:lang w:val="en-US" w:eastAsia="zh-CN" w:bidi="ar-SA"/>
              </w:rPr>
            </m:ctrlPr>
          </m:e>
        </m:d>
      </m:oMath>
      <w:r>
        <w:rPr>
          <w:rFonts w:hint="eastAsia" w:ascii="Times New Roman" w:hAnsi="Times New Roman" w:cs="Times New Roman" w:eastAsiaTheme="minorEastAsia"/>
          <w:i/>
          <w:iCs/>
          <w:kern w:val="2"/>
          <w:sz w:val="24"/>
          <w:szCs w:val="24"/>
          <w:lang w:val="en-US" w:eastAsia="zh-CN" w:bidi="ar-SA"/>
        </w:rPr>
        <w:t>: Evaluates physical hydraulic head preservation:</w:t>
      </w:r>
    </w:p>
    <w:p w14:paraId="18AB55E0">
      <w:pPr>
        <w:widowControl w:val="0"/>
        <w:ind w:leftChars="0"/>
        <w:jc w:val="both"/>
        <w:rPr>
          <w:rFonts w:hint="default" w:hAnsi="Cambria Math" w:cs="Cambria Math"/>
          <w:i/>
          <w:iCs/>
          <w:kern w:val="2"/>
          <w:sz w:val="24"/>
          <w:szCs w:val="24"/>
          <w:lang w:val="en-US" w:eastAsia="zh-CN" w:bidi="ar-SA"/>
        </w:rPr>
      </w:pPr>
      <m:oMathPara>
        <m:oMath>
          <m:sSub>
            <m:sSubPr>
              <m:ctrlPr>
                <w:rPr>
                  <w:rFonts w:hint="default" w:ascii="Cambria Math" w:hAnsi="Cambria Math" w:cs="Times New Roman" w:eastAsiaTheme="minorEastAsia"/>
                  <w:i/>
                  <w:iCs/>
                  <w:kern w:val="2"/>
                  <w:sz w:val="24"/>
                  <w:szCs w:val="24"/>
                  <w:lang w:val="en-US" w:eastAsia="zh-CN" w:bidi="ar-SA"/>
                </w:rPr>
              </m:ctrlPr>
            </m:sSubPr>
            <m:e>
              <m:r>
                <m:rPr/>
                <w:rPr>
                  <w:rFonts w:hint="default" w:ascii="Times New Roman" w:hAnsi="Times New Roman" w:cs="Times New Roman" w:eastAsiaTheme="minorEastAsia"/>
                  <w:kern w:val="2"/>
                  <w:sz w:val="24"/>
                  <w:szCs w:val="24"/>
                  <w:lang w:val="en-US" w:eastAsia="zh-CN" w:bidi="ar-SA"/>
                </w:rPr>
                <m:t>RI</m:t>
              </m:r>
              <m:ctrlPr>
                <w:rPr>
                  <w:rFonts w:hint="default" w:ascii="Cambria Math" w:hAnsi="Cambria Math" w:cs="Times New Roman" w:eastAsiaTheme="minorEastAsia"/>
                  <w:i/>
                  <w:iCs/>
                  <w:kern w:val="2"/>
                  <w:sz w:val="24"/>
                  <w:szCs w:val="24"/>
                  <w:lang w:val="en-US" w:eastAsia="zh-CN" w:bidi="ar-SA"/>
                </w:rPr>
              </m:ctrlPr>
            </m:e>
            <m:sub>
              <m:r>
                <m:rPr/>
                <w:rPr>
                  <w:rFonts w:hint="default" w:ascii="Times New Roman" w:hAnsi="Times New Roman" w:cs="Times New Roman" w:eastAsiaTheme="minorEastAsia"/>
                  <w:kern w:val="2"/>
                  <w:sz w:val="24"/>
                  <w:szCs w:val="24"/>
                  <w:lang w:val="en-US" w:eastAsia="zh-CN" w:bidi="ar-SA"/>
                </w:rPr>
                <m:t>pressure</m:t>
              </m:r>
              <m:ctrlPr>
                <w:rPr>
                  <w:rFonts w:hint="default" w:ascii="Cambria Math" w:hAnsi="Cambria Math" w:cs="Times New Roman" w:eastAsiaTheme="minorEastAsia"/>
                  <w:i/>
                  <w:iCs/>
                  <w:kern w:val="2"/>
                  <w:sz w:val="24"/>
                  <w:szCs w:val="24"/>
                  <w:lang w:val="en-US" w:eastAsia="zh-CN" w:bidi="ar-SA"/>
                </w:rPr>
              </m:ctrlPr>
            </m:sub>
          </m:sSub>
          <m:r>
            <m:rPr/>
            <w:rPr>
              <w:rFonts w:hint="default" w:ascii="Cambria Math" w:hAnsi="Cambria Math" w:cs="Cambria Math" w:eastAsiaTheme="minorEastAsia"/>
              <w:kern w:val="2"/>
              <w:sz w:val="24"/>
              <w:szCs w:val="24"/>
              <w:lang w:val="en-US" w:eastAsia="zh-CN" w:bidi="ar-SA"/>
            </w:rPr>
            <m:t>=</m:t>
          </m:r>
          <m:f>
            <m:fPr>
              <m:ctrlPr>
                <w:rPr>
                  <w:rFonts w:hint="default" w:ascii="Cambria Math" w:hAnsi="Cambria Math" w:cs="Cambria Math" w:eastAsiaTheme="minorEastAsia"/>
                  <w:i/>
                  <w:iCs/>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eastAsiaTheme="minorEastAsia"/>
                  <w:i/>
                  <w:iCs/>
                  <w:kern w:val="2"/>
                  <w:sz w:val="24"/>
                  <w:szCs w:val="24"/>
                  <w:lang w:val="en-US" w:eastAsia="zh-CN" w:bidi="ar-SA"/>
                </w:rPr>
              </m:ctrlPr>
            </m:num>
            <m:den>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fault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den>
          </m:f>
          <m:nary>
            <m:naryPr>
              <m:limLoc m:val="subSup"/>
              <m:ctrlPr>
                <w:rPr>
                  <w:rFonts w:hint="default" w:ascii="Cambria Math" w:hAnsi="Cambria Math" w:cs="Cambria Math" w:eastAsiaTheme="minorEastAsia"/>
                  <w:i/>
                  <w:iCs/>
                  <w:kern w:val="2"/>
                  <w:sz w:val="24"/>
                  <w:szCs w:val="24"/>
                  <w:lang w:val="en-US" w:eastAsia="zh-CN" w:bidi="ar-SA"/>
                </w:rPr>
              </m:ctrlPr>
            </m:naryPr>
            <m:sub>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start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b>
            <m:sup>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end</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p>
            <m:e>
              <m:f>
                <m:fPr>
                  <m:ctrlPr>
                    <w:rPr>
                      <w:rFonts w:hint="default" w:ascii="Cambria Math" w:hAnsi="Cambria Math" w:cs="Cambria Math" w:eastAsiaTheme="minorEastAsia"/>
                      <w:i/>
                      <w:iCs/>
                      <w:kern w:val="2"/>
                      <w:sz w:val="24"/>
                      <w:szCs w:val="24"/>
                      <w:lang w:val="en-US" w:eastAsia="zh-CN" w:bidi="ar-SA"/>
                    </w:rPr>
                  </m:ctrlPr>
                </m:fPr>
                <m:num>
                  <m:acc>
                    <m:accPr>
                      <m:chr m:val="̅"/>
                      <m:ctrlPr>
                        <w:rPr>
                          <w:rFonts w:hint="default" w:ascii="Cambria Math" w:hAnsi="Cambria Math" w:cs="Cambria Math" w:eastAsiaTheme="minorEastAsia"/>
                          <w:i/>
                          <w:iCs/>
                          <w:kern w:val="2"/>
                          <w:sz w:val="24"/>
                          <w:szCs w:val="24"/>
                          <w:lang w:val="en-US" w:eastAsia="zh-CN" w:bidi="ar-SA"/>
                        </w:rPr>
                      </m:ctrlPr>
                    </m:accPr>
                    <m:e>
                      <m:r>
                        <m:rPr/>
                        <w:rPr>
                          <w:rFonts w:hint="default" w:ascii="Cambria Math" w:hAnsi="Cambria Math" w:cs="Cambria Math"/>
                          <w:kern w:val="2"/>
                          <w:sz w:val="24"/>
                          <w:szCs w:val="24"/>
                          <w:lang w:val="en-US" w:eastAsia="zh-CN" w:bidi="ar-SA"/>
                        </w:rPr>
                        <m:t>P</m:t>
                      </m:r>
                      <m:ctrlPr>
                        <w:rPr>
                          <w:rFonts w:hint="default" w:ascii="Cambria Math" w:hAnsi="Cambria Math" w:cs="Cambria Math" w:eastAsiaTheme="minorEastAsia"/>
                          <w:i/>
                          <w:iCs/>
                          <w:kern w:val="2"/>
                          <w:sz w:val="24"/>
                          <w:szCs w:val="24"/>
                          <w:lang w:val="en-US" w:eastAsia="zh-CN" w:bidi="ar-SA"/>
                        </w:rPr>
                      </m:ctrlPr>
                    </m:e>
                  </m:acc>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eastAsiaTheme="minorEastAsia"/>
                      <w:i/>
                      <w:iCs/>
                      <w:kern w:val="2"/>
                      <w:sz w:val="24"/>
                      <w:szCs w:val="24"/>
                      <w:lang w:val="en-US" w:eastAsia="zh-CN" w:bidi="ar-SA"/>
                    </w:rPr>
                  </m:ctrlPr>
                </m:num>
                <m:den>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P</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0</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den>
              </m:f>
              <m:ctrlPr>
                <w:rPr>
                  <w:rFonts w:hint="default" w:ascii="Cambria Math" w:hAnsi="Cambria Math" w:cs="Cambria Math" w:eastAsiaTheme="minorEastAsia"/>
                  <w:i/>
                  <w:iCs/>
                  <w:kern w:val="2"/>
                  <w:sz w:val="24"/>
                  <w:szCs w:val="24"/>
                  <w:lang w:val="en-US" w:eastAsia="zh-CN" w:bidi="ar-SA"/>
                </w:rPr>
              </m:ctrlPr>
            </m:e>
          </m:nary>
          <m:r>
            <m:rPr/>
            <w:rPr>
              <w:rFonts w:hint="default" w:ascii="Cambria Math" w:hAnsi="Cambria Math" w:cs="Cambria Math"/>
              <w:kern w:val="2"/>
              <w:sz w:val="24"/>
              <w:szCs w:val="24"/>
              <w:lang w:val="en-US" w:eastAsia="zh-CN" w:bidi="ar-SA"/>
            </w:rPr>
            <m:t>dt</m:t>
          </m:r>
        </m:oMath>
      </m:oMathPara>
    </w:p>
    <w:p w14:paraId="1349F1EA">
      <w:pPr>
        <w:widowControl w:val="0"/>
        <w:ind w:leftChars="0"/>
        <w:jc w:val="both"/>
        <w:rPr>
          <w:rFonts w:hint="default" w:ascii="Times New Roman" w:hAnsi="Times New Roman" w:cs="Times New Roman"/>
          <w:i/>
          <w:iCs/>
          <w:kern w:val="2"/>
          <w:sz w:val="24"/>
          <w:szCs w:val="24"/>
          <w:lang w:val="en-US" w:eastAsia="zh-CN" w:bidi="ar-SA"/>
        </w:rPr>
      </w:pPr>
      <w:r>
        <w:rPr>
          <w:rFonts w:hint="default" w:ascii="Times New Roman" w:hAnsi="Times New Roman" w:cs="Times New Roman"/>
          <w:i/>
          <w:iCs/>
          <w:kern w:val="2"/>
          <w:sz w:val="24"/>
          <w:szCs w:val="24"/>
          <w:lang w:val="en-US" w:eastAsia="zh-CN" w:bidi="ar-SA"/>
        </w:rPr>
        <w:t xml:space="preserve">2. Service Resilience Index </w:t>
      </w:r>
      <m:oMath>
        <m:d>
          <m:dPr>
            <m:ctrlPr>
              <w:rPr>
                <w:rFonts w:hint="default" w:ascii="Cambria Math" w:hAnsi="Cambria Math" w:cs="Times New Roman" w:eastAsiaTheme="minorEastAsia"/>
                <w:i/>
                <w:iCs/>
                <w:kern w:val="2"/>
                <w:sz w:val="24"/>
                <w:szCs w:val="24"/>
                <w:lang w:val="en-US" w:eastAsia="zh-CN" w:bidi="ar-SA"/>
              </w:rPr>
            </m:ctrlPr>
          </m:dPr>
          <m:e>
            <m:sSub>
              <m:sSubPr>
                <m:ctrlPr>
                  <w:rPr>
                    <w:rFonts w:hint="default" w:ascii="Cambria Math" w:hAnsi="Cambria Math" w:cs="Times New Roman" w:eastAsiaTheme="minorEastAsia"/>
                    <w:i/>
                    <w:iCs/>
                    <w:kern w:val="2"/>
                    <w:sz w:val="24"/>
                    <w:szCs w:val="24"/>
                    <w:lang w:val="en-US" w:eastAsia="zh-CN" w:bidi="ar-SA"/>
                  </w:rPr>
                </m:ctrlPr>
              </m:sSubPr>
              <m:e>
                <m:r>
                  <m:rPr>
                    <m:nor/>
                  </m:rPr>
                  <w:rPr>
                    <w:rFonts w:hint="default" w:ascii="Times New Roman" w:hAnsi="Times New Roman" w:cs="Times New Roman" w:eastAsiaTheme="minorEastAsia"/>
                    <w:i/>
                    <w:kern w:val="2"/>
                    <w:sz w:val="24"/>
                    <w:szCs w:val="24"/>
                    <w:lang w:val="en-US" w:eastAsia="zh-CN" w:bidi="ar-SA"/>
                  </w:rPr>
                  <m:t>RI</m:t>
                </m:r>
                <m:ctrlPr>
                  <w:rPr>
                    <w:rFonts w:hint="default" w:ascii="Cambria Math" w:hAnsi="Cambria Math" w:cs="Times New Roman" w:eastAsiaTheme="minorEastAsia"/>
                    <w:i/>
                    <w:iCs/>
                    <w:kern w:val="2"/>
                    <w:sz w:val="24"/>
                    <w:szCs w:val="24"/>
                    <w:lang w:val="en-US" w:eastAsia="zh-CN" w:bidi="ar-SA"/>
                  </w:rPr>
                </m:ctrlPr>
              </m:e>
              <m:sub>
                <m:r>
                  <m:rPr>
                    <m:nor/>
                  </m:rPr>
                  <w:rPr>
                    <w:rFonts w:hint="default" w:ascii="Times New Roman" w:hAnsi="Times New Roman" w:cs="Times New Roman"/>
                    <w:i/>
                    <w:iCs/>
                    <w:kern w:val="2"/>
                    <w:sz w:val="24"/>
                    <w:szCs w:val="24"/>
                    <w:lang w:val="en-US" w:eastAsia="zh-CN" w:bidi="ar-SA"/>
                  </w:rPr>
                  <m:t>service</m:t>
                </m:r>
                <m:ctrlPr>
                  <w:rPr>
                    <w:rFonts w:hint="default" w:ascii="Cambria Math" w:hAnsi="Cambria Math" w:cs="Times New Roman" w:eastAsiaTheme="minorEastAsia"/>
                    <w:i/>
                    <w:iCs/>
                    <w:kern w:val="2"/>
                    <w:sz w:val="24"/>
                    <w:szCs w:val="24"/>
                    <w:lang w:val="en-US" w:eastAsia="zh-CN" w:bidi="ar-SA"/>
                  </w:rPr>
                </m:ctrlPr>
              </m:sub>
            </m:sSub>
            <m:ctrlPr>
              <w:rPr>
                <w:rFonts w:hint="default" w:ascii="Cambria Math" w:hAnsi="Cambria Math" w:cs="Times New Roman" w:eastAsiaTheme="minorEastAsia"/>
                <w:i/>
                <w:iCs/>
                <w:kern w:val="2"/>
                <w:sz w:val="24"/>
                <w:szCs w:val="24"/>
                <w:lang w:val="en-US" w:eastAsia="zh-CN" w:bidi="ar-SA"/>
              </w:rPr>
            </m:ctrlPr>
          </m:e>
        </m:d>
      </m:oMath>
      <w:r>
        <w:rPr>
          <w:rFonts w:hint="default" w:ascii="Times New Roman" w:hAnsi="Times New Roman" w:cs="Times New Roman"/>
          <w:i/>
          <w:iCs/>
          <w:kern w:val="2"/>
          <w:sz w:val="24"/>
          <w:szCs w:val="24"/>
          <w:lang w:val="en-US" w:eastAsia="zh-CN" w:bidi="ar-SA"/>
        </w:rPr>
        <w:t xml:space="preserve">: Evaluates water service continuity based on the Demand Satisfaction Ratio </w:t>
      </w:r>
      <m:oMath>
        <m:d>
          <m:dPr>
            <m:ctrlPr>
              <w:rPr>
                <w:rFonts w:hint="default" w:ascii="Cambria Math" w:hAnsi="Cambria Math" w:cs="Times New Roman"/>
                <w:i/>
                <w:iCs/>
                <w:kern w:val="2"/>
                <w:sz w:val="24"/>
                <w:szCs w:val="24"/>
                <w:lang w:val="en-US" w:bidi="ar-SA"/>
              </w:rPr>
            </m:ctrlPr>
          </m:dPr>
          <m:e>
            <m:r>
              <m:rPr>
                <m:nor/>
              </m:rPr>
              <w:rPr>
                <w:rFonts w:hint="default" w:ascii="Times New Roman" w:hAnsi="Times New Roman" w:cs="Times New Roman"/>
                <w:i/>
                <w:iCs/>
                <w:kern w:val="2"/>
                <w:sz w:val="24"/>
                <w:szCs w:val="24"/>
                <w:lang w:val="en-US" w:eastAsia="zh-CN" w:bidi="ar-SA"/>
              </w:rPr>
              <m:t>DSR</m:t>
            </m:r>
            <m:d>
              <m:dPr>
                <m:ctrlPr>
                  <w:rPr>
                    <w:rFonts w:hint="default" w:ascii="Cambria Math" w:hAnsi="Cambria Math" w:cs="Times New Roman"/>
                    <w:i/>
                    <w:iCs/>
                    <w:kern w:val="2"/>
                    <w:sz w:val="24"/>
                    <w:szCs w:val="24"/>
                    <w:lang w:val="en-US" w:eastAsia="zh-CN" w:bidi="ar-SA"/>
                  </w:rPr>
                </m:ctrlPr>
              </m:dPr>
              <m:e>
                <m:r>
                  <m:rPr>
                    <m:nor/>
                  </m:rPr>
                  <w:rPr>
                    <w:rFonts w:hint="default" w:ascii="Times New Roman" w:hAnsi="Times New Roman" w:cs="Times New Roman"/>
                    <w:i/>
                    <w:iCs/>
                    <w:kern w:val="2"/>
                    <w:sz w:val="24"/>
                    <w:szCs w:val="24"/>
                    <w:lang w:val="en-US" w:eastAsia="zh-CN" w:bidi="ar-SA"/>
                  </w:rPr>
                  <m:t>t</m:t>
                </m:r>
                <m:ctrlPr>
                  <w:rPr>
                    <w:rFonts w:hint="default" w:ascii="Cambria Math" w:hAnsi="Cambria Math" w:cs="Times New Roman"/>
                    <w:i/>
                    <w:iCs/>
                    <w:kern w:val="2"/>
                    <w:sz w:val="24"/>
                    <w:szCs w:val="24"/>
                    <w:lang w:val="en-US" w:eastAsia="zh-CN" w:bidi="ar-SA"/>
                  </w:rPr>
                </m:ctrlPr>
              </m:e>
            </m:d>
            <m:ctrlPr>
              <w:rPr>
                <w:rFonts w:hint="default" w:ascii="Cambria Math" w:hAnsi="Cambria Math" w:cs="Times New Roman"/>
                <w:i/>
                <w:iCs/>
                <w:kern w:val="2"/>
                <w:sz w:val="24"/>
                <w:szCs w:val="24"/>
                <w:lang w:val="en-US" w:bidi="ar-SA"/>
              </w:rPr>
            </m:ctrlPr>
          </m:e>
        </m:d>
      </m:oMath>
      <w:r>
        <w:rPr>
          <w:rFonts w:hint="default" w:ascii="Times New Roman" w:hAnsi="Times New Roman" w:cs="Times New Roman"/>
          <w:i/>
          <w:iCs/>
          <w:kern w:val="2"/>
          <w:sz w:val="24"/>
          <w:szCs w:val="24"/>
          <w:lang w:val="en-US" w:eastAsia="zh-CN" w:bidi="ar-SA"/>
        </w:rPr>
        <w:t>:</w:t>
      </w:r>
    </w:p>
    <w:p w14:paraId="4537898E">
      <w:pPr>
        <w:widowControl w:val="0"/>
        <w:ind w:leftChars="0"/>
        <w:jc w:val="both"/>
        <w:rPr>
          <w:rFonts w:hint="default" w:hAnsi="Cambria Math" w:cs="Cambria Math"/>
          <w:i/>
          <w:iCs/>
          <w:kern w:val="2"/>
          <w:sz w:val="24"/>
          <w:szCs w:val="24"/>
          <w:lang w:val="en-US" w:eastAsia="zh-CN" w:bidi="ar-SA"/>
        </w:rPr>
      </w:pPr>
      <m:oMathPara>
        <m:oMath>
          <m:r>
            <m:rPr>
              <m:nor/>
            </m:rPr>
            <w:rPr>
              <w:rFonts w:hint="default" w:ascii="Times New Roman" w:hAnsi="Times New Roman" w:cs="Times New Roman"/>
              <w:i/>
              <w:iCs/>
              <w:kern w:val="2"/>
              <w:sz w:val="24"/>
              <w:szCs w:val="24"/>
              <w:lang w:val="en-US" w:eastAsia="zh-CN" w:bidi="ar-SA"/>
            </w:rPr>
            <m:t>DSR</m:t>
          </m:r>
          <m:d>
            <m:dPr>
              <m:ctrlPr>
                <w:rPr>
                  <w:rFonts w:hint="default" w:ascii="Cambria Math" w:hAnsi="Cambria Math" w:cs="Times New Roman"/>
                  <w:i/>
                  <w:iCs/>
                  <w:kern w:val="2"/>
                  <w:sz w:val="24"/>
                  <w:szCs w:val="24"/>
                  <w:lang w:val="en-US" w:eastAsia="zh-CN" w:bidi="ar-SA"/>
                </w:rPr>
              </m:ctrlPr>
            </m:dPr>
            <m:e>
              <m:r>
                <m:rPr>
                  <m:nor/>
                </m:rPr>
                <w:rPr>
                  <w:rFonts w:hint="default" w:ascii="Times New Roman" w:hAnsi="Times New Roman" w:cs="Times New Roman"/>
                  <w:i/>
                  <w:iCs/>
                  <w:kern w:val="2"/>
                  <w:sz w:val="24"/>
                  <w:szCs w:val="24"/>
                  <w:lang w:val="en-US" w:eastAsia="zh-CN" w:bidi="ar-SA"/>
                </w:rPr>
                <m:t>t</m:t>
              </m:r>
              <m:ctrlPr>
                <w:rPr>
                  <w:rFonts w:hint="default" w:ascii="Cambria Math" w:hAnsi="Cambria Math" w:cs="Times New Roman"/>
                  <w:i/>
                  <w:iCs/>
                  <w:kern w:val="2"/>
                  <w:sz w:val="24"/>
                  <w:szCs w:val="24"/>
                  <w:lang w:val="en-US" w:eastAsia="zh-CN" w:bidi="ar-SA"/>
                </w:rPr>
              </m:ctrlPr>
            </m:e>
          </m:d>
          <m:r>
            <m:rPr/>
            <w:rPr>
              <w:rFonts w:hint="default" w:ascii="Cambria Math" w:hAnsi="Cambria Math" w:cs="Cambria Math"/>
              <w:kern w:val="2"/>
              <w:sz w:val="24"/>
              <w:szCs w:val="24"/>
              <w:lang w:val="en-US" w:eastAsia="zh-CN" w:bidi="ar-SA"/>
            </w:rPr>
            <m:t>=</m:t>
          </m:r>
          <m:f>
            <m:fPr>
              <m:ctrlPr>
                <w:rPr>
                  <w:rFonts w:hint="default" w:ascii="Cambria Math" w:hAnsi="Cambria Math" w:cs="Cambria Math"/>
                  <w:i/>
                  <w:iCs/>
                  <w:kern w:val="2"/>
                  <w:sz w:val="24"/>
                  <w:szCs w:val="24"/>
                  <w:lang w:val="en-US" w:eastAsia="zh-CN" w:bidi="ar-SA"/>
                </w:rPr>
              </m:ctrlPr>
            </m:fPr>
            <m:num>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del,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ctrlPr>
                <w:rPr>
                  <w:rFonts w:hint="default" w:ascii="Cambria Math" w:hAnsi="Cambria Math" w:cs="Cambria Math"/>
                  <w:i/>
                  <w:iCs/>
                  <w:kern w:val="2"/>
                  <w:sz w:val="24"/>
                  <w:szCs w:val="24"/>
                  <w:lang w:val="en-US" w:eastAsia="zh-CN" w:bidi="ar-SA"/>
                </w:rPr>
              </m:ctrlPr>
            </m:num>
            <m:den>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nom,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ctrlPr>
                <w:rPr>
                  <w:rFonts w:hint="default" w:ascii="Cambria Math" w:hAnsi="Cambria Math" w:cs="Cambria Math"/>
                  <w:i/>
                  <w:iCs/>
                  <w:kern w:val="2"/>
                  <w:sz w:val="24"/>
                  <w:szCs w:val="24"/>
                  <w:lang w:val="en-US" w:eastAsia="zh-CN" w:bidi="ar-SA"/>
                </w:rPr>
              </m:ctrlPr>
            </m:den>
          </m:f>
        </m:oMath>
      </m:oMathPara>
    </w:p>
    <w:p w14:paraId="5EEA8E8F">
      <w:pPr>
        <w:widowControl w:val="0"/>
        <w:ind w:leftChars="0"/>
        <w:jc w:val="both"/>
        <w:rPr>
          <w:rFonts w:hint="default" w:hAnsi="Cambria Math" w:cs="Cambria Math" w:eastAsiaTheme="minorEastAsia"/>
          <w:i/>
          <w:iCs/>
          <w:kern w:val="2"/>
          <w:sz w:val="24"/>
          <w:szCs w:val="24"/>
          <w:lang w:val="en-US" w:eastAsia="zh-CN" w:bidi="ar-SA"/>
        </w:rPr>
      </w:pPr>
      <m:oMathPara>
        <m:oMath>
          <m:sSub>
            <m:sSubPr>
              <m:ctrlPr>
                <w:rPr>
                  <w:rFonts w:hint="default" w:ascii="Cambria Math" w:hAnsi="Cambria Math" w:cs="Times New Roman" w:eastAsiaTheme="minorEastAsia"/>
                  <w:i/>
                  <w:iCs/>
                  <w:kern w:val="2"/>
                  <w:sz w:val="24"/>
                  <w:szCs w:val="24"/>
                  <w:lang w:val="en-US" w:eastAsia="zh-CN" w:bidi="ar-SA"/>
                </w:rPr>
              </m:ctrlPr>
            </m:sSubPr>
            <m:e>
              <m:r>
                <m:rPr/>
                <w:rPr>
                  <w:rFonts w:hint="default" w:ascii="Times New Roman" w:hAnsi="Times New Roman" w:cs="Times New Roman" w:eastAsiaTheme="minorEastAsia"/>
                  <w:kern w:val="2"/>
                  <w:sz w:val="24"/>
                  <w:szCs w:val="24"/>
                  <w:lang w:val="en-US" w:eastAsia="zh-CN" w:bidi="ar-SA"/>
                </w:rPr>
                <m:t>RI</m:t>
              </m:r>
              <m:ctrlPr>
                <w:rPr>
                  <w:rFonts w:hint="default" w:ascii="Cambria Math" w:hAnsi="Cambria Math" w:cs="Times New Roman" w:eastAsiaTheme="minorEastAsia"/>
                  <w:i/>
                  <w:iCs/>
                  <w:kern w:val="2"/>
                  <w:sz w:val="24"/>
                  <w:szCs w:val="24"/>
                  <w:lang w:val="en-US" w:eastAsia="zh-CN" w:bidi="ar-SA"/>
                </w:rPr>
              </m:ctrlPr>
            </m:e>
            <m:sub>
              <m:r>
                <m:rPr/>
                <w:rPr>
                  <w:rFonts w:hint="default" w:ascii="Cambria Math" w:hAnsi="Cambria Math" w:cs="Times New Roman"/>
                  <w:kern w:val="2"/>
                  <w:sz w:val="24"/>
                  <w:szCs w:val="24"/>
                  <w:lang w:val="en-US" w:eastAsia="zh-CN" w:bidi="ar-SA"/>
                </w:rPr>
                <m:t>service</m:t>
              </m:r>
              <m:ctrlPr>
                <w:rPr>
                  <w:rFonts w:hint="default" w:ascii="Cambria Math" w:hAnsi="Cambria Math" w:cs="Times New Roman" w:eastAsiaTheme="minorEastAsia"/>
                  <w:i/>
                  <w:iCs/>
                  <w:kern w:val="2"/>
                  <w:sz w:val="24"/>
                  <w:szCs w:val="24"/>
                  <w:lang w:val="en-US" w:eastAsia="zh-CN" w:bidi="ar-SA"/>
                </w:rPr>
              </m:ctrlPr>
            </m:sub>
          </m:sSub>
          <m:r>
            <m:rPr/>
            <w:rPr>
              <w:rFonts w:hint="default" w:ascii="Cambria Math" w:hAnsi="Cambria Math" w:cs="Cambria Math" w:eastAsiaTheme="minorEastAsia"/>
              <w:kern w:val="2"/>
              <w:sz w:val="24"/>
              <w:szCs w:val="24"/>
              <w:lang w:val="en-US" w:eastAsia="zh-CN" w:bidi="ar-SA"/>
            </w:rPr>
            <m:t>=</m:t>
          </m:r>
          <m:f>
            <m:fPr>
              <m:ctrlPr>
                <w:rPr>
                  <w:rFonts w:hint="default" w:ascii="Cambria Math" w:hAnsi="Cambria Math" w:cs="Cambria Math" w:eastAsiaTheme="minorEastAsia"/>
                  <w:i/>
                  <w:iCs/>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eastAsiaTheme="minorEastAsia"/>
                  <w:i/>
                  <w:iCs/>
                  <w:kern w:val="2"/>
                  <w:sz w:val="24"/>
                  <w:szCs w:val="24"/>
                  <w:lang w:val="en-US" w:eastAsia="zh-CN" w:bidi="ar-SA"/>
                </w:rPr>
              </m:ctrlPr>
            </m:num>
            <m:den>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fault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den>
          </m:f>
          <m:nary>
            <m:naryPr>
              <m:limLoc m:val="subSup"/>
              <m:ctrlPr>
                <w:rPr>
                  <w:rFonts w:hint="default" w:ascii="Cambria Math" w:hAnsi="Cambria Math" w:cs="Cambria Math" w:eastAsiaTheme="minorEastAsia"/>
                  <w:i/>
                  <w:iCs/>
                  <w:kern w:val="2"/>
                  <w:sz w:val="24"/>
                  <w:szCs w:val="24"/>
                  <w:lang w:val="en-US" w:eastAsia="zh-CN" w:bidi="ar-SA"/>
                </w:rPr>
              </m:ctrlPr>
            </m:naryPr>
            <m:sub>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start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b>
            <m:sup>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end</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p>
            <m:e>
              <m:r>
                <m:rPr/>
                <w:rPr>
                  <w:rFonts w:hint="default" w:ascii="Cambria Math" w:hAnsi="Cambria Math" w:cs="Cambria Math"/>
                  <w:kern w:val="2"/>
                  <w:sz w:val="24"/>
                  <w:szCs w:val="24"/>
                  <w:lang w:val="en-US" w:eastAsia="zh-CN" w:bidi="ar-SA"/>
                </w:rPr>
                <m:t>DSR</m:t>
              </m:r>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r>
                <m:rPr/>
                <w:rPr>
                  <w:rFonts w:hint="default" w:ascii="Cambria Math" w:hAnsi="Cambria Math" w:cs="Cambria Math"/>
                  <w:kern w:val="2"/>
                  <w:sz w:val="24"/>
                  <w:szCs w:val="24"/>
                  <w:lang w:val="en-US" w:eastAsia="zh-CN" w:bidi="ar-SA"/>
                </w:rPr>
                <m:t>dt</m:t>
              </m:r>
              <m:ctrlPr>
                <w:rPr>
                  <w:rFonts w:hint="default" w:ascii="Cambria Math" w:hAnsi="Cambria Math" w:cs="Cambria Math" w:eastAsiaTheme="minorEastAsia"/>
                  <w:i/>
                  <w:iCs/>
                  <w:kern w:val="2"/>
                  <w:sz w:val="24"/>
                  <w:szCs w:val="24"/>
                  <w:lang w:val="en-US" w:eastAsia="zh-CN" w:bidi="ar-SA"/>
                </w:rPr>
              </m:ctrlPr>
            </m:e>
          </m:nary>
        </m:oMath>
      </m:oMathPara>
    </w:p>
    <w:p w14:paraId="4B14BC97">
      <w:pPr>
        <w:widowControl w:val="0"/>
        <w:ind w:leftChars="0"/>
        <w:jc w:val="both"/>
        <w:rPr>
          <w:rFonts w:hint="default" w:ascii="Times New Roman" w:hAnsi="Times New Roman" w:cs="Times New Roman"/>
          <w:i/>
          <w:iCs/>
          <w:kern w:val="2"/>
          <w:sz w:val="24"/>
          <w:szCs w:val="24"/>
          <w:lang w:val="en-US" w:eastAsia="zh-CN" w:bidi="ar-SA"/>
        </w:rPr>
      </w:pPr>
      <w:r>
        <w:rPr>
          <w:rFonts w:hint="default" w:ascii="Times New Roman" w:hAnsi="Times New Roman" w:cs="Times New Roman"/>
          <w:i/>
          <w:iCs/>
          <w:kern w:val="2"/>
          <w:sz w:val="24"/>
          <w:szCs w:val="24"/>
          <w:lang w:val="en-US" w:eastAsia="zh-CN" w:bidi="ar-SA"/>
        </w:rPr>
        <w:t xml:space="preserve">3. Cumulative Unmet Demand </w:t>
      </w:r>
      <m:oMath>
        <m:d>
          <m:dPr>
            <m:ctrlPr>
              <w:rPr>
                <w:rFonts w:hint="default" w:ascii="Cambria Math" w:hAnsi="Cambria Math" w:cs="Times New Roman"/>
                <w:i/>
                <w:iCs/>
                <w:kern w:val="2"/>
                <w:sz w:val="24"/>
                <w:szCs w:val="24"/>
                <w:lang w:val="en-US" w:bidi="ar-SA"/>
              </w:rPr>
            </m:ctrlPr>
          </m:dPr>
          <m:e>
            <m:sSub>
              <m:sSubPr>
                <m:ctrlPr>
                  <w:rPr>
                    <w:rFonts w:hint="default" w:ascii="Cambria Math" w:hAnsi="Cambria Math" w:cs="Times New Roman"/>
                    <w:i/>
                    <w:iCs/>
                    <w:kern w:val="2"/>
                    <w:sz w:val="24"/>
                    <w:szCs w:val="24"/>
                    <w:lang w:val="en-US" w:bidi="ar-SA"/>
                  </w:rPr>
                </m:ctrlPr>
              </m:sSubPr>
              <m:e>
                <m:r>
                  <m:rPr>
                    <m:nor/>
                  </m:rPr>
                  <w:rPr>
                    <w:rFonts w:hint="default" w:ascii="Times New Roman" w:hAnsi="Times New Roman" w:cs="Times New Roman"/>
                    <w:i/>
                    <w:iCs/>
                    <w:kern w:val="2"/>
                    <w:sz w:val="24"/>
                    <w:szCs w:val="24"/>
                    <w:lang w:val="en-US" w:eastAsia="zh-CN" w:bidi="ar-SA"/>
                  </w:rPr>
                  <m:t>V</m:t>
                </m:r>
                <m:ctrlPr>
                  <w:rPr>
                    <w:rFonts w:hint="default" w:ascii="Cambria Math" w:hAnsi="Cambria Math" w:cs="Times New Roman"/>
                    <w:i/>
                    <w:iCs/>
                    <w:kern w:val="2"/>
                    <w:sz w:val="24"/>
                    <w:szCs w:val="24"/>
                    <w:lang w:val="en-US" w:bidi="ar-SA"/>
                  </w:rPr>
                </m:ctrlPr>
              </m:e>
              <m:sub>
                <m:r>
                  <m:rPr>
                    <m:nor/>
                  </m:rPr>
                  <w:rPr>
                    <w:rFonts w:hint="default" w:ascii="Times New Roman" w:hAnsi="Times New Roman" w:cs="Times New Roman"/>
                    <w:i/>
                    <w:iCs/>
                    <w:kern w:val="2"/>
                    <w:sz w:val="24"/>
                    <w:szCs w:val="24"/>
                    <w:lang w:val="en-US" w:eastAsia="zh-CN" w:bidi="ar-SA"/>
                  </w:rPr>
                  <m:t>unmet</m:t>
                </m:r>
                <m:ctrlPr>
                  <w:rPr>
                    <w:rFonts w:hint="default" w:ascii="Cambria Math" w:hAnsi="Cambria Math" w:cs="Times New Roman"/>
                    <w:i/>
                    <w:iCs/>
                    <w:kern w:val="2"/>
                    <w:sz w:val="24"/>
                    <w:szCs w:val="24"/>
                    <w:lang w:val="en-US" w:bidi="ar-SA"/>
                  </w:rPr>
                </m:ctrlPr>
              </m:sub>
            </m:sSub>
            <m:ctrlPr>
              <w:rPr>
                <w:rFonts w:hint="default" w:ascii="Cambria Math" w:hAnsi="Cambria Math" w:cs="Times New Roman"/>
                <w:i/>
                <w:iCs/>
                <w:kern w:val="2"/>
                <w:sz w:val="24"/>
                <w:szCs w:val="24"/>
                <w:lang w:val="en-US" w:bidi="ar-SA"/>
              </w:rPr>
            </m:ctrlPr>
          </m:e>
        </m:d>
      </m:oMath>
      <w:r>
        <w:rPr>
          <w:rFonts w:hint="default" w:ascii="Times New Roman" w:hAnsi="Times New Roman" w:cs="Times New Roman"/>
          <w:i/>
          <w:iCs/>
          <w:kern w:val="2"/>
          <w:sz w:val="24"/>
          <w:szCs w:val="24"/>
          <w:lang w:val="en-US" w:eastAsia="zh-CN" w:bidi="ar-SA"/>
        </w:rPr>
        <w:t xml:space="preserve">: Quantifies total water supply deficit </w:t>
      </w:r>
      <m:oMath>
        <m:d>
          <m:dPr>
            <m:ctrlPr>
              <w:rPr>
                <w:rFonts w:hint="default" w:ascii="Cambria Math" w:hAnsi="Cambria Math" w:cs="Times New Roman"/>
                <w:i/>
                <w:iCs/>
                <w:kern w:val="2"/>
                <w:sz w:val="24"/>
                <w:szCs w:val="24"/>
                <w:lang w:val="en-US" w:eastAsia="zh-CN" w:bidi="ar-SA"/>
              </w:rPr>
            </m:ctrlPr>
          </m:dPr>
          <m:e>
            <m:sSup>
              <m:sSupPr>
                <m:ctrlPr>
                  <w:rPr>
                    <w:rFonts w:hint="default" w:ascii="Cambria Math" w:hAnsi="Cambria Math" w:cs="Times New Roman"/>
                    <w:i/>
                    <w:iCs/>
                    <w:kern w:val="2"/>
                    <w:sz w:val="24"/>
                    <w:szCs w:val="24"/>
                    <w:lang w:val="en-US" w:bidi="ar-SA"/>
                  </w:rPr>
                </m:ctrlPr>
              </m:sSupPr>
              <m:e>
                <m:r>
                  <m:rPr>
                    <m:nor/>
                  </m:rPr>
                  <w:rPr>
                    <w:rFonts w:hint="default" w:ascii="Times New Roman" w:hAnsi="Times New Roman" w:cs="Times New Roman"/>
                    <w:i/>
                    <w:kern w:val="2"/>
                    <w:sz w:val="24"/>
                    <w:szCs w:val="24"/>
                    <w:lang w:val="en-US" w:eastAsia="zh-CN" w:bidi="ar-SA"/>
                  </w:rPr>
                  <m:t>m</m:t>
                </m:r>
                <m:ctrlPr>
                  <w:rPr>
                    <w:rFonts w:hint="default" w:ascii="Cambria Math" w:hAnsi="Cambria Math" w:cs="Times New Roman"/>
                    <w:i/>
                    <w:iCs/>
                    <w:kern w:val="2"/>
                    <w:sz w:val="24"/>
                    <w:szCs w:val="24"/>
                    <w:lang w:val="en-US" w:bidi="ar-SA"/>
                  </w:rPr>
                </m:ctrlPr>
              </m:e>
              <m:sup>
                <m:r>
                  <m:rPr>
                    <m:nor/>
                    <m:sty m:val="p"/>
                  </m:rPr>
                  <w:rPr>
                    <w:rFonts w:hint="default" w:ascii="Times New Roman" w:hAnsi="Times New Roman" w:cs="Times New Roman"/>
                    <w:b w:val="0"/>
                    <w:i w:val="0"/>
                    <w:kern w:val="2"/>
                    <w:sz w:val="24"/>
                    <w:szCs w:val="24"/>
                    <w:lang w:val="en-US" w:eastAsia="zh-CN" w:bidi="ar-SA"/>
                  </w:rPr>
                  <m:t>3</m:t>
                </m:r>
                <m:ctrlPr>
                  <w:rPr>
                    <w:rFonts w:hint="default" w:ascii="Cambria Math" w:hAnsi="Cambria Math" w:cs="Times New Roman"/>
                    <w:i/>
                    <w:iCs/>
                    <w:kern w:val="2"/>
                    <w:sz w:val="24"/>
                    <w:szCs w:val="24"/>
                    <w:lang w:val="en-US" w:bidi="ar-SA"/>
                  </w:rPr>
                </m:ctrlPr>
              </m:sup>
            </m:sSup>
            <m:ctrlPr>
              <w:rPr>
                <w:rFonts w:hint="default" w:ascii="Cambria Math" w:hAnsi="Cambria Math" w:cs="Times New Roman"/>
                <w:i/>
                <w:iCs/>
                <w:kern w:val="2"/>
                <w:sz w:val="24"/>
                <w:szCs w:val="24"/>
                <w:lang w:val="en-US" w:eastAsia="zh-CN" w:bidi="ar-SA"/>
              </w:rPr>
            </m:ctrlPr>
          </m:e>
        </m:d>
      </m:oMath>
      <w:r>
        <w:rPr>
          <w:rFonts w:hint="default" w:ascii="Times New Roman" w:hAnsi="Times New Roman" w:cs="Times New Roman"/>
          <w:i/>
          <w:iCs/>
          <w:kern w:val="2"/>
          <w:sz w:val="24"/>
          <w:szCs w:val="24"/>
          <w:lang w:val="en-US" w:eastAsia="zh-CN" w:bidi="ar-SA"/>
        </w:rPr>
        <w:t>:</w:t>
      </w:r>
    </w:p>
    <w:p w14:paraId="085920A9">
      <w:pPr>
        <w:widowControl w:val="0"/>
        <w:ind w:leftChars="0"/>
        <w:jc w:val="both"/>
        <w:rPr>
          <w:rFonts w:hint="default" w:hAnsi="Cambria Math" w:cs="Cambria Math" w:eastAsiaTheme="minorEastAsia"/>
          <w:i/>
          <w:iCs/>
          <w:kern w:val="2"/>
          <w:sz w:val="24"/>
          <w:szCs w:val="24"/>
          <w:lang w:val="en-US" w:eastAsia="zh-CN" w:bidi="ar-SA"/>
        </w:rPr>
      </w:pPr>
      <m:oMathPara>
        <m:oMath>
          <m:sSub>
            <m:sSubPr>
              <m:ctrlPr>
                <w:rPr>
                  <w:rFonts w:ascii="Cambria Math" w:hAnsi="Cambria Math" w:cs="Cambria Math"/>
                  <w:i/>
                  <w:iCs/>
                  <w:kern w:val="2"/>
                  <w:sz w:val="24"/>
                  <w:szCs w:val="24"/>
                  <w:lang w:val="en-US" w:bidi="ar-SA"/>
                </w:rPr>
              </m:ctrlPr>
            </m:sSubPr>
            <m:e>
              <m:r>
                <m:rPr/>
                <w:rPr>
                  <w:rFonts w:hint="default" w:ascii="Cambria Math" w:hAnsi="Cambria Math" w:cs="Cambria Math"/>
                  <w:kern w:val="2"/>
                  <w:sz w:val="24"/>
                  <w:szCs w:val="24"/>
                  <w:lang w:val="en-US" w:eastAsia="zh-CN" w:bidi="ar-SA"/>
                </w:rPr>
                <m:t>V</m:t>
              </m:r>
              <m:ctrlPr>
                <w:rPr>
                  <w:rFonts w:ascii="Cambria Math" w:hAnsi="Cambria Math" w:cs="Cambria Math"/>
                  <w:i/>
                  <w:iCs/>
                  <w:kern w:val="2"/>
                  <w:sz w:val="24"/>
                  <w:szCs w:val="24"/>
                  <w:lang w:val="en-US" w:bidi="ar-SA"/>
                </w:rPr>
              </m:ctrlPr>
            </m:e>
            <m:sub>
              <m:r>
                <m:rPr/>
                <w:rPr>
                  <w:rFonts w:hint="default" w:ascii="Cambria Math" w:hAnsi="Cambria Math" w:cs="Cambria Math"/>
                  <w:kern w:val="2"/>
                  <w:sz w:val="24"/>
                  <w:szCs w:val="24"/>
                  <w:lang w:val="en-US" w:eastAsia="zh-CN" w:bidi="ar-SA"/>
                </w:rPr>
                <m:t>unmet</m:t>
              </m:r>
              <m:ctrlPr>
                <w:rPr>
                  <w:rFonts w:ascii="Cambria Math" w:hAnsi="Cambria Math" w:cs="Cambria Math"/>
                  <w:i/>
                  <w:iCs/>
                  <w:kern w:val="2"/>
                  <w:sz w:val="24"/>
                  <w:szCs w:val="24"/>
                  <w:lang w:val="en-US" w:bidi="ar-SA"/>
                </w:rPr>
              </m:ctrlPr>
            </m:sub>
          </m:sSub>
          <m:r>
            <m:rPr/>
            <w:rPr>
              <w:rFonts w:hint="default" w:ascii="Cambria Math" w:hAnsi="Cambria Math" w:cs="Cambria Math"/>
              <w:kern w:val="2"/>
              <w:sz w:val="24"/>
              <w:szCs w:val="24"/>
              <w:lang w:val="en-US" w:bidi="ar-SA"/>
            </w:rPr>
            <m:t>=</m:t>
          </m:r>
          <m:nary>
            <m:naryPr>
              <m:limLoc m:val="subSup"/>
              <m:ctrlPr>
                <w:rPr>
                  <w:rFonts w:hint="default" w:ascii="Cambria Math" w:hAnsi="Cambria Math" w:cs="Cambria Math" w:eastAsiaTheme="minorEastAsia"/>
                  <w:i/>
                  <w:iCs/>
                  <w:kern w:val="2"/>
                  <w:sz w:val="24"/>
                  <w:szCs w:val="24"/>
                  <w:lang w:val="en-US" w:eastAsia="zh-CN" w:bidi="ar-SA"/>
                </w:rPr>
              </m:ctrlPr>
            </m:naryPr>
            <m:sub>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start</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b>
            <m:sup>
              <m:sSub>
                <m:sSubPr>
                  <m:ctrlPr>
                    <w:rPr>
                      <w:rFonts w:hint="default" w:ascii="Cambria Math" w:hAnsi="Cambria Math" w:cs="Cambria Math" w:eastAsiaTheme="minorEastAsia"/>
                      <w:i/>
                      <w:iCs/>
                      <w:kern w:val="2"/>
                      <w:sz w:val="24"/>
                      <w:szCs w:val="24"/>
                      <w:lang w:val="en-US" w:eastAsia="zh-CN" w:bidi="ar-SA"/>
                    </w:rPr>
                  </m:ctrlPr>
                </m:sSubPr>
                <m:e>
                  <m:r>
                    <m:rPr/>
                    <w:rPr>
                      <w:rFonts w:hint="default" w:ascii="Cambria Math" w:hAnsi="Cambria Math" w:cs="Cambria Math"/>
                      <w:kern w:val="2"/>
                      <w:sz w:val="24"/>
                      <w:szCs w:val="24"/>
                      <w:lang w:val="en-US" w:eastAsia="zh-CN" w:bidi="ar-SA"/>
                    </w:rPr>
                    <m:t>t</m:t>
                  </m:r>
                  <m:ctrlPr>
                    <w:rPr>
                      <w:rFonts w:hint="default" w:ascii="Cambria Math" w:hAnsi="Cambria Math" w:cs="Cambria Math" w:eastAsiaTheme="minorEastAsia"/>
                      <w:i/>
                      <w:iCs/>
                      <w:kern w:val="2"/>
                      <w:sz w:val="24"/>
                      <w:szCs w:val="24"/>
                      <w:lang w:val="en-US" w:eastAsia="zh-CN" w:bidi="ar-SA"/>
                    </w:rPr>
                  </m:ctrlPr>
                </m:e>
                <m:sub>
                  <m:r>
                    <m:rPr/>
                    <w:rPr>
                      <w:rFonts w:hint="default" w:ascii="Cambria Math" w:hAnsi="Cambria Math" w:cs="Cambria Math"/>
                      <w:kern w:val="2"/>
                      <w:sz w:val="24"/>
                      <w:szCs w:val="24"/>
                      <w:lang w:val="en-US" w:eastAsia="zh-CN" w:bidi="ar-SA"/>
                    </w:rPr>
                    <m:t>end</m:t>
                  </m:r>
                  <m:ctrlPr>
                    <w:rPr>
                      <w:rFonts w:hint="default" w:ascii="Cambria Math" w:hAnsi="Cambria Math" w:cs="Cambria Math" w:eastAsiaTheme="minorEastAsia"/>
                      <w:i/>
                      <w:iCs/>
                      <w:kern w:val="2"/>
                      <w:sz w:val="24"/>
                      <w:szCs w:val="24"/>
                      <w:lang w:val="en-US" w:eastAsia="zh-CN" w:bidi="ar-SA"/>
                    </w:rPr>
                  </m:ctrlPr>
                </m:sub>
              </m:sSub>
              <m:ctrlPr>
                <w:rPr>
                  <w:rFonts w:hint="default" w:ascii="Cambria Math" w:hAnsi="Cambria Math" w:cs="Cambria Math" w:eastAsiaTheme="minorEastAsia"/>
                  <w:i/>
                  <w:iCs/>
                  <w:kern w:val="2"/>
                  <w:sz w:val="24"/>
                  <w:szCs w:val="24"/>
                  <w:lang w:val="en-US" w:eastAsia="zh-CN" w:bidi="ar-SA"/>
                </w:rPr>
              </m:ctrlPr>
            </m:sup>
            <m:e>
              <m:d>
                <m:dPr>
                  <m:ctrlPr>
                    <w:rPr>
                      <w:rFonts w:hint="default" w:ascii="Cambria Math" w:hAnsi="Cambria Math" w:cs="Cambria Math"/>
                      <w:i/>
                      <w:iCs/>
                      <w:kern w:val="2"/>
                      <w:sz w:val="24"/>
                      <w:szCs w:val="24"/>
                      <w:lang w:val="en-US" w:eastAsia="zh-CN" w:bidi="ar-SA"/>
                    </w:rPr>
                  </m:ctrlPr>
                </m:dPr>
                <m:e>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nom,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r>
                    <m:rPr/>
                    <w:rPr>
                      <w:rFonts w:ascii="Cambria Math" w:hAnsi="Cambria Math" w:cs="Cambria Math"/>
                      <w:kern w:val="2"/>
                      <w:sz w:val="24"/>
                      <w:szCs w:val="24"/>
                      <w:lang w:val="en-US" w:bidi="ar-SA"/>
                    </w:rPr>
                    <m:t>−</m:t>
                  </m:r>
                  <m:nary>
                    <m:naryPr>
                      <m:chr m:val="∑"/>
                      <m:limLoc m:val="undOvr"/>
                      <m:subHide m:val="1"/>
                      <m:supHide m:val="1"/>
                      <m:ctrlPr>
                        <w:rPr>
                          <w:rFonts w:hint="default" w:ascii="Cambria Math" w:hAnsi="Cambria Math" w:cs="Cambria Math"/>
                          <w:i/>
                          <w:iCs/>
                          <w:kern w:val="2"/>
                          <w:sz w:val="24"/>
                          <w:szCs w:val="24"/>
                          <w:lang w:val="en-US" w:eastAsia="zh-CN" w:bidi="ar-SA"/>
                        </w:rPr>
                      </m:ctrlPr>
                    </m:naryPr>
                    <m:sub>
                      <m:ctrlPr>
                        <w:rPr>
                          <w:rFonts w:hint="default" w:ascii="Cambria Math" w:hAnsi="Cambria Math" w:cs="Cambria Math"/>
                          <w:i/>
                          <w:iCs/>
                          <w:kern w:val="2"/>
                          <w:sz w:val="24"/>
                          <w:szCs w:val="24"/>
                          <w:lang w:val="en-US" w:eastAsia="zh-CN" w:bidi="ar-SA"/>
                        </w:rPr>
                      </m:ctrlPr>
                    </m:sub>
                    <m:sup>
                      <m:ctrlPr>
                        <w:rPr>
                          <w:rFonts w:hint="default" w:ascii="Cambria Math" w:hAnsi="Cambria Math" w:cs="Cambria Math"/>
                          <w:i/>
                          <w:iCs/>
                          <w:kern w:val="2"/>
                          <w:sz w:val="24"/>
                          <w:szCs w:val="24"/>
                          <w:lang w:val="en-US" w:eastAsia="zh-CN" w:bidi="ar-SA"/>
                        </w:rPr>
                      </m:ctrlPr>
                    </m:sup>
                    <m:e>
                      <m:sSub>
                        <m:sSubPr>
                          <m:ctrlPr>
                            <w:rPr>
                              <w:rFonts w:hint="default" w:ascii="Cambria Math" w:hAnsi="Cambria Math" w:cs="Cambria Math"/>
                              <w:i/>
                              <w:iCs/>
                              <w:kern w:val="2"/>
                              <w:sz w:val="24"/>
                              <w:szCs w:val="24"/>
                              <w:lang w:val="en-US" w:eastAsia="zh-CN" w:bidi="ar-SA"/>
                            </w:rPr>
                          </m:ctrlPr>
                        </m:sSubPr>
                        <m:e>
                          <m:r>
                            <m:rPr/>
                            <w:rPr>
                              <w:rFonts w:hint="default" w:ascii="Cambria Math" w:hAnsi="Cambria Math" w:cs="Cambria Math"/>
                              <w:kern w:val="2"/>
                              <w:sz w:val="24"/>
                              <w:szCs w:val="24"/>
                              <w:lang w:val="en-US" w:eastAsia="zh-CN" w:bidi="ar-SA"/>
                            </w:rPr>
                            <m:t>Q</m:t>
                          </m:r>
                          <m:ctrlPr>
                            <w:rPr>
                              <w:rFonts w:hint="default" w:ascii="Cambria Math" w:hAnsi="Cambria Math" w:cs="Cambria Math"/>
                              <w:i/>
                              <w:iCs/>
                              <w:kern w:val="2"/>
                              <w:sz w:val="24"/>
                              <w:szCs w:val="24"/>
                              <w:lang w:val="en-US" w:eastAsia="zh-CN" w:bidi="ar-SA"/>
                            </w:rPr>
                          </m:ctrlPr>
                        </m:e>
                        <m:sub>
                          <m:r>
                            <m:rPr/>
                            <w:rPr>
                              <w:rFonts w:hint="default" w:ascii="Cambria Math" w:hAnsi="Cambria Math" w:cs="Cambria Math"/>
                              <w:kern w:val="2"/>
                              <w:sz w:val="24"/>
                              <w:szCs w:val="24"/>
                              <w:lang w:val="en-US" w:eastAsia="zh-CN" w:bidi="ar-SA"/>
                            </w:rPr>
                            <m:t>del, j</m:t>
                          </m:r>
                          <m:ctrlPr>
                            <w:rPr>
                              <w:rFonts w:hint="default" w:ascii="Cambria Math" w:hAnsi="Cambria Math" w:cs="Cambria Math"/>
                              <w:i/>
                              <w:iCs/>
                              <w:kern w:val="2"/>
                              <w:sz w:val="24"/>
                              <w:szCs w:val="24"/>
                              <w:lang w:val="en-US" w:eastAsia="zh-CN" w:bidi="ar-SA"/>
                            </w:rPr>
                          </m:ctrlPr>
                        </m:sub>
                      </m:sSub>
                      <m:d>
                        <m:dPr>
                          <m:ctrlPr>
                            <w:rPr>
                              <w:rFonts w:hint="default" w:ascii="Cambria Math" w:hAnsi="Cambria Math" w:cs="Cambria Math"/>
                              <w:i/>
                              <w:iCs/>
                              <w:kern w:val="2"/>
                              <w:sz w:val="24"/>
                              <w:szCs w:val="24"/>
                              <w:lang w:val="en-US" w:eastAsia="zh-CN" w:bidi="ar-SA"/>
                            </w:rPr>
                          </m:ctrlPr>
                        </m:dPr>
                        <m:e>
                          <m:r>
                            <m:rPr/>
                            <w:rPr>
                              <w:rFonts w:hint="default" w:ascii="Cambria Math" w:hAnsi="Cambria Math" w:cs="Cambria Math"/>
                              <w:kern w:val="2"/>
                              <w:sz w:val="24"/>
                              <w:szCs w:val="24"/>
                              <w:lang w:val="en-US" w:eastAsia="zh-CN" w:bidi="ar-SA"/>
                            </w:rPr>
                            <m:t>t</m:t>
                          </m:r>
                          <m:ctrlPr>
                            <w:rPr>
                              <w:rFonts w:hint="default" w:ascii="Cambria Math" w:hAnsi="Cambria Math" w:cs="Cambria Math"/>
                              <w:i/>
                              <w:iCs/>
                              <w:kern w:val="2"/>
                              <w:sz w:val="24"/>
                              <w:szCs w:val="24"/>
                              <w:lang w:val="en-US" w:eastAsia="zh-CN" w:bidi="ar-SA"/>
                            </w:rPr>
                          </m:ctrlPr>
                        </m:e>
                      </m:d>
                      <m:ctrlPr>
                        <w:rPr>
                          <w:rFonts w:hint="default" w:ascii="Cambria Math" w:hAnsi="Cambria Math" w:cs="Cambria Math"/>
                          <w:i/>
                          <w:iCs/>
                          <w:kern w:val="2"/>
                          <w:sz w:val="24"/>
                          <w:szCs w:val="24"/>
                          <w:lang w:val="en-US" w:eastAsia="zh-CN" w:bidi="ar-SA"/>
                        </w:rPr>
                      </m:ctrlPr>
                    </m:e>
                  </m:nary>
                  <m:ctrlPr>
                    <w:rPr>
                      <w:rFonts w:hint="default" w:ascii="Cambria Math" w:hAnsi="Cambria Math" w:cs="Cambria Math"/>
                      <w:i/>
                      <w:iCs/>
                      <w:kern w:val="2"/>
                      <w:sz w:val="24"/>
                      <w:szCs w:val="24"/>
                      <w:lang w:val="en-US" w:eastAsia="zh-CN" w:bidi="ar-SA"/>
                    </w:rPr>
                  </m:ctrlPr>
                </m:e>
              </m:d>
              <m:r>
                <m:rPr/>
                <w:rPr>
                  <w:rFonts w:hint="default" w:ascii="Cambria Math" w:hAnsi="Cambria Math" w:cs="Cambria Math"/>
                  <w:kern w:val="2"/>
                  <w:sz w:val="24"/>
                  <w:szCs w:val="24"/>
                  <w:lang w:val="en-US" w:eastAsia="zh-CN" w:bidi="ar-SA"/>
                </w:rPr>
                <m:t>dt</m:t>
              </m:r>
              <m:ctrlPr>
                <w:rPr>
                  <w:rFonts w:hint="default" w:ascii="Cambria Math" w:hAnsi="Cambria Math" w:cs="Cambria Math" w:eastAsiaTheme="minorEastAsia"/>
                  <w:i/>
                  <w:iCs/>
                  <w:kern w:val="2"/>
                  <w:sz w:val="24"/>
                  <w:szCs w:val="24"/>
                  <w:lang w:val="en-US" w:eastAsia="zh-CN" w:bidi="ar-SA"/>
                </w:rPr>
              </m:ctrlPr>
            </m:e>
          </m:nary>
        </m:oMath>
      </m:oMathPara>
    </w:p>
    <w:p w14:paraId="4DCDA5F7">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Table 4: Dual-metric resilience assessment and volumetric water accounting (t=24–48 h)</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560"/>
        <w:gridCol w:w="1263"/>
        <w:gridCol w:w="1244"/>
        <w:gridCol w:w="1250"/>
        <w:gridCol w:w="1958"/>
      </w:tblGrid>
      <w:tr w14:paraId="42FA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71E8835A">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Metric Category</w:t>
            </w:r>
          </w:p>
        </w:tc>
        <w:tc>
          <w:tcPr>
            <w:tcW w:w="0" w:type="auto"/>
            <w:tcBorders>
              <w:top w:val="single" w:color="000000" w:sz="12" w:space="0"/>
              <w:left w:val="nil"/>
              <w:bottom w:val="single" w:color="000000" w:sz="4" w:space="0"/>
              <w:right w:val="nil"/>
            </w:tcBorders>
            <w:shd w:val="clear" w:color="auto" w:fill="FFFFFF"/>
          </w:tcPr>
          <w:p w14:paraId="0EA0A3B8">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Performance Indicator</w:t>
            </w:r>
          </w:p>
        </w:tc>
        <w:tc>
          <w:tcPr>
            <w:tcW w:w="0" w:type="auto"/>
            <w:tcBorders>
              <w:top w:val="single" w:color="000000" w:sz="12" w:space="0"/>
              <w:left w:val="nil"/>
              <w:bottom w:val="single" w:color="000000" w:sz="4" w:space="0"/>
              <w:right w:val="nil"/>
            </w:tcBorders>
            <w:shd w:val="clear" w:color="auto" w:fill="FFFFFF"/>
          </w:tcPr>
          <w:p w14:paraId="6DEAAAE5">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Baseline (Without EWM)</w:t>
            </w:r>
          </w:p>
        </w:tc>
        <w:tc>
          <w:tcPr>
            <w:tcW w:w="0" w:type="auto"/>
            <w:tcBorders>
              <w:top w:val="single" w:color="000000" w:sz="12" w:space="0"/>
              <w:left w:val="nil"/>
              <w:bottom w:val="single" w:color="000000" w:sz="4" w:space="0"/>
              <w:right w:val="nil"/>
            </w:tcBorders>
            <w:shd w:val="clear" w:color="auto" w:fill="FFFFFF"/>
          </w:tcPr>
          <w:p w14:paraId="777718C2">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Proposed (With EWM)</w:t>
            </w:r>
          </w:p>
        </w:tc>
        <w:tc>
          <w:tcPr>
            <w:tcW w:w="0" w:type="auto"/>
            <w:tcBorders>
              <w:top w:val="single" w:color="000000" w:sz="12" w:space="0"/>
              <w:left w:val="nil"/>
              <w:bottom w:val="single" w:color="000000" w:sz="4" w:space="0"/>
              <w:right w:val="nil"/>
            </w:tcBorders>
            <w:shd w:val="clear" w:color="auto" w:fill="FFFFFF"/>
          </w:tcPr>
          <w:p w14:paraId="6428D0C7">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Net Change (Δ)</w:t>
            </w:r>
          </w:p>
        </w:tc>
        <w:tc>
          <w:tcPr>
            <w:tcW w:w="0" w:type="auto"/>
            <w:tcBorders>
              <w:top w:val="single" w:color="000000" w:sz="12" w:space="0"/>
              <w:left w:val="nil"/>
              <w:bottom w:val="single" w:color="000000" w:sz="4" w:space="0"/>
              <w:right w:val="nil"/>
            </w:tcBorders>
            <w:shd w:val="clear" w:color="auto" w:fill="FFFFFF"/>
          </w:tcPr>
          <w:p w14:paraId="5AB47F22">
            <w:pPr>
              <w:widowControl w:val="0"/>
              <w:jc w:val="left"/>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Physical &amp; Operational Significance</w:t>
            </w:r>
          </w:p>
        </w:tc>
      </w:tr>
      <w:tr w14:paraId="56B5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18093EBC">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Resilience Index</w:t>
            </w:r>
          </w:p>
        </w:tc>
        <w:tc>
          <w:tcPr>
            <w:tcW w:w="0" w:type="auto"/>
            <w:tcBorders>
              <w:top w:val="single" w:color="000000" w:sz="4" w:space="0"/>
              <w:left w:val="nil"/>
              <w:bottom w:val="nil"/>
              <w:right w:val="nil"/>
            </w:tcBorders>
            <w:shd w:val="clear" w:color="auto" w:fill="FFFFFF"/>
          </w:tcPr>
          <w:p w14:paraId="73FAC3BA">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Pressure Index</w:t>
            </w:r>
            <w:r>
              <w:rPr>
                <w:rFonts w:hint="eastAsia" w:ascii="Times New Roman" w:hAnsi="Times New Roman" w:cs="Times New Roman"/>
                <w:b w:val="0"/>
                <w:i/>
                <w:iCs/>
                <w:color w:val="000000"/>
                <w:kern w:val="2"/>
                <w:sz w:val="20"/>
                <w:szCs w:val="20"/>
                <w:vertAlign w:val="baseline"/>
                <w:lang w:val="en-US" w:eastAsia="zh-CN" w:bidi="ar-SA"/>
              </w:rPr>
              <w:t xml:space="preserve"> </w:t>
            </w:r>
            <m:oMath>
              <m:d>
                <m:dPr>
                  <m:ctrlPr>
                    <w:rPr>
                      <w:rFonts w:ascii="Cambria Math" w:hAnsi="Cambria Math" w:cs="Times New Roman"/>
                      <w:b w:val="0"/>
                      <w:i/>
                      <w:iCs/>
                      <w:color w:val="000000"/>
                      <w:kern w:val="2"/>
                      <w:sz w:val="20"/>
                      <w:szCs w:val="20"/>
                      <w:vertAlign w:val="baseline"/>
                      <w:lang w:val="en-US" w:bidi="ar-SA"/>
                    </w:rPr>
                  </m:ctrlPr>
                </m:dPr>
                <m:e>
                  <m:sSub>
                    <m:sSubPr>
                      <m:ctrlPr>
                        <w:rPr>
                          <w:rFonts w:hint="default" w:ascii="Cambria Math" w:hAnsi="Cambria Math" w:cs="Times New Roman" w:eastAsiaTheme="minorEastAsia"/>
                          <w:b w:val="0"/>
                          <w:i/>
                          <w:iCs/>
                          <w:color w:val="000000"/>
                          <w:kern w:val="2"/>
                          <w:sz w:val="24"/>
                          <w:szCs w:val="24"/>
                          <w:lang w:val="en-US" w:eastAsia="zh-CN" w:bidi="ar-SA"/>
                        </w:rPr>
                      </m:ctrlPr>
                    </m:sSubPr>
                    <m:e>
                      <m:r>
                        <m:rPr/>
                        <w:rPr>
                          <w:rFonts w:hint="default" w:ascii="Times New Roman" w:hAnsi="Times New Roman" w:cs="Times New Roman" w:eastAsiaTheme="minorEastAsia"/>
                          <w:color w:val="000000"/>
                          <w:kern w:val="2"/>
                          <w:sz w:val="24"/>
                          <w:szCs w:val="24"/>
                          <w:lang w:val="en-US" w:eastAsia="zh-CN" w:bidi="ar-SA"/>
                        </w:rPr>
                        <m:t>RI</m:t>
                      </m:r>
                      <m:ctrlPr>
                        <w:rPr>
                          <w:rFonts w:hint="default" w:ascii="Cambria Math" w:hAnsi="Cambria Math" w:cs="Times New Roman" w:eastAsiaTheme="minorEastAsia"/>
                          <w:b w:val="0"/>
                          <w:i/>
                          <w:iCs/>
                          <w:color w:val="000000"/>
                          <w:kern w:val="2"/>
                          <w:sz w:val="24"/>
                          <w:szCs w:val="24"/>
                          <w:lang w:val="en-US" w:eastAsia="zh-CN" w:bidi="ar-SA"/>
                        </w:rPr>
                      </m:ctrlPr>
                    </m:e>
                    <m:sub>
                      <m:r>
                        <m:rPr/>
                        <w:rPr>
                          <w:rFonts w:hint="default" w:ascii="Times New Roman" w:hAnsi="Times New Roman" w:cs="Times New Roman" w:eastAsiaTheme="minorEastAsia"/>
                          <w:color w:val="000000"/>
                          <w:kern w:val="2"/>
                          <w:sz w:val="24"/>
                          <w:szCs w:val="24"/>
                          <w:lang w:val="en-US" w:eastAsia="zh-CN" w:bidi="ar-SA"/>
                        </w:rPr>
                        <m:t>pressure</m:t>
                      </m:r>
                      <m:ctrlPr>
                        <w:rPr>
                          <w:rFonts w:hint="default" w:ascii="Cambria Math" w:hAnsi="Cambria Math" w:cs="Times New Roman" w:eastAsiaTheme="minorEastAsia"/>
                          <w:b w:val="0"/>
                          <w:i/>
                          <w:iCs/>
                          <w:color w:val="000000"/>
                          <w:kern w:val="2"/>
                          <w:sz w:val="24"/>
                          <w:szCs w:val="24"/>
                          <w:lang w:val="en-US" w:eastAsia="zh-CN" w:bidi="ar-SA"/>
                        </w:rPr>
                      </m:ctrlPr>
                    </m:sub>
                  </m:sSub>
                  <m:ctrlPr>
                    <w:rPr>
                      <w:rFonts w:ascii="Cambria Math" w:hAnsi="Cambria Math" w:cs="Times New Roman"/>
                      <w:b w:val="0"/>
                      <w:i/>
                      <w:iCs/>
                      <w:color w:val="000000"/>
                      <w:kern w:val="2"/>
                      <w:sz w:val="20"/>
                      <w:szCs w:val="20"/>
                      <w:vertAlign w:val="baseline"/>
                      <w:lang w:val="en-US" w:bidi="ar-SA"/>
                    </w:rPr>
                  </m:ctrlPr>
                </m:e>
              </m:d>
            </m:oMath>
            <w:r>
              <w:rPr>
                <w:rFonts w:hint="eastAsia" w:ascii="Times New Roman" w:hAnsi="Times New Roman" w:cs="Times New Roman"/>
                <w:b w:val="0"/>
                <w:i/>
                <w:iCs/>
                <w:color w:val="000000"/>
                <w:kern w:val="2"/>
                <w:sz w:val="20"/>
                <w:szCs w:val="20"/>
                <w:vertAlign w:val="baseline"/>
                <w:lang w:val="en-US" w:eastAsia="zh-CN" w:bidi="ar-SA"/>
              </w:rPr>
              <w:t xml:space="preserve"> </w:t>
            </w:r>
          </w:p>
        </w:tc>
        <w:tc>
          <w:tcPr>
            <w:tcW w:w="0" w:type="auto"/>
            <w:tcBorders>
              <w:top w:val="single" w:color="000000" w:sz="4" w:space="0"/>
              <w:left w:val="nil"/>
              <w:bottom w:val="nil"/>
              <w:right w:val="nil"/>
            </w:tcBorders>
            <w:shd w:val="clear" w:color="auto" w:fill="FFFFFF"/>
          </w:tcPr>
          <w:p w14:paraId="1F6B0105">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eastAsia" w:ascii="Times New Roman" w:hAnsi="Times New Roman" w:cs="Times New Roman"/>
                <w:b w:val="0"/>
                <w:i/>
                <w:iCs/>
                <w:color w:val="000000"/>
                <w:kern w:val="2"/>
                <w:sz w:val="20"/>
                <w:szCs w:val="20"/>
                <w:vertAlign w:val="baseline"/>
                <w:lang w:val="en-US" w:eastAsia="zh-CN" w:bidi="ar-SA"/>
              </w:rPr>
              <w:t>0.22</w:t>
            </w:r>
          </w:p>
        </w:tc>
        <w:tc>
          <w:tcPr>
            <w:tcW w:w="0" w:type="auto"/>
            <w:tcBorders>
              <w:top w:val="single" w:color="000000" w:sz="4" w:space="0"/>
              <w:left w:val="nil"/>
              <w:bottom w:val="nil"/>
              <w:right w:val="nil"/>
            </w:tcBorders>
            <w:shd w:val="clear" w:color="auto" w:fill="FFFFFF"/>
          </w:tcPr>
          <w:p w14:paraId="6FB51A49">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eastAsia" w:ascii="Times New Roman" w:hAnsi="Times New Roman" w:cs="Times New Roman"/>
                <w:b w:val="0"/>
                <w:i/>
                <w:iCs/>
                <w:color w:val="000000"/>
                <w:kern w:val="2"/>
                <w:sz w:val="20"/>
                <w:szCs w:val="20"/>
                <w:vertAlign w:val="baseline"/>
                <w:lang w:val="en-US" w:eastAsia="zh-CN" w:bidi="ar-SA"/>
              </w:rPr>
              <w:t>0.84</w:t>
            </w:r>
          </w:p>
        </w:tc>
        <w:tc>
          <w:tcPr>
            <w:tcW w:w="0" w:type="auto"/>
            <w:tcBorders>
              <w:top w:val="single" w:color="000000" w:sz="4" w:space="0"/>
              <w:left w:val="nil"/>
              <w:bottom w:val="nil"/>
              <w:right w:val="nil"/>
            </w:tcBorders>
            <w:shd w:val="clear" w:color="auto" w:fill="FFFFFF"/>
          </w:tcPr>
          <w:p w14:paraId="5C47F437">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eastAsia" w:ascii="Times New Roman" w:hAnsi="Times New Roman" w:cs="Times New Roman"/>
                <w:b w:val="0"/>
                <w:i/>
                <w:iCs/>
                <w:color w:val="000000"/>
                <w:kern w:val="2"/>
                <w:sz w:val="20"/>
                <w:szCs w:val="20"/>
                <w:vertAlign w:val="baseline"/>
                <w:lang w:val="en-US" w:eastAsia="zh-CN" w:bidi="ar-SA"/>
              </w:rPr>
              <w:t>0.62</w:t>
            </w:r>
          </w:p>
        </w:tc>
        <w:tc>
          <w:tcPr>
            <w:tcW w:w="0" w:type="auto"/>
            <w:tcBorders>
              <w:top w:val="single" w:color="000000" w:sz="4" w:space="0"/>
              <w:left w:val="nil"/>
              <w:bottom w:val="nil"/>
              <w:right w:val="nil"/>
            </w:tcBorders>
            <w:shd w:val="clear" w:color="auto" w:fill="FFFFFF"/>
          </w:tcPr>
          <w:p w14:paraId="7F5E8DDC">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Pipeline head maintained above critical threshold.</w:t>
            </w:r>
          </w:p>
        </w:tc>
      </w:tr>
      <w:tr w14:paraId="1599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0" w:type="auto"/>
            <w:tcBorders>
              <w:top w:val="nil"/>
              <w:left w:val="nil"/>
              <w:bottom w:val="nil"/>
              <w:right w:val="nil"/>
            </w:tcBorders>
            <w:shd w:val="clear" w:color="auto" w:fill="FFFFFF"/>
          </w:tcPr>
          <w:p w14:paraId="2CF2EC69">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p>
        </w:tc>
        <w:tc>
          <w:tcPr>
            <w:tcW w:w="0" w:type="auto"/>
            <w:tcBorders>
              <w:top w:val="nil"/>
              <w:left w:val="nil"/>
              <w:bottom w:val="nil"/>
              <w:right w:val="nil"/>
            </w:tcBorders>
            <w:shd w:val="clear" w:color="auto" w:fill="FFFFFF"/>
          </w:tcPr>
          <w:p w14:paraId="22CF791D">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 xml:space="preserve">Service Index </w:t>
            </w:r>
            <m:oMath>
              <m:d>
                <m:dPr>
                  <m:ctrlPr>
                    <w:rPr>
                      <w:rFonts w:ascii="Cambria Math" w:hAnsi="Cambria Math" w:cs="Times New Roman"/>
                      <w:b w:val="0"/>
                      <w:i/>
                      <w:iCs/>
                      <w:color w:val="000000"/>
                      <w:kern w:val="2"/>
                      <w:sz w:val="20"/>
                      <w:szCs w:val="20"/>
                      <w:vertAlign w:val="baseline"/>
                      <w:lang w:val="en-US" w:bidi="ar-SA"/>
                    </w:rPr>
                  </m:ctrlPr>
                </m:dPr>
                <m:e>
                  <m:sSub>
                    <m:sSubPr>
                      <m:ctrlPr>
                        <w:rPr>
                          <w:rFonts w:hint="default" w:ascii="Cambria Math" w:hAnsi="Cambria Math" w:cs="Times New Roman" w:eastAsiaTheme="minorEastAsia"/>
                          <w:b w:val="0"/>
                          <w:i/>
                          <w:iCs/>
                          <w:color w:val="000000"/>
                          <w:kern w:val="2"/>
                          <w:sz w:val="24"/>
                          <w:szCs w:val="24"/>
                          <w:lang w:val="en-US" w:eastAsia="zh-CN" w:bidi="ar-SA"/>
                        </w:rPr>
                      </m:ctrlPr>
                    </m:sSubPr>
                    <m:e>
                      <m:r>
                        <m:rPr/>
                        <w:rPr>
                          <w:rFonts w:hint="default" w:ascii="Times New Roman" w:hAnsi="Times New Roman" w:cs="Times New Roman" w:eastAsiaTheme="minorEastAsia"/>
                          <w:color w:val="000000"/>
                          <w:kern w:val="2"/>
                          <w:sz w:val="24"/>
                          <w:szCs w:val="24"/>
                          <w:lang w:val="en-US" w:eastAsia="zh-CN" w:bidi="ar-SA"/>
                        </w:rPr>
                        <m:t>RI</m:t>
                      </m:r>
                      <m:ctrlPr>
                        <w:rPr>
                          <w:rFonts w:hint="default" w:ascii="Cambria Math" w:hAnsi="Cambria Math" w:cs="Times New Roman" w:eastAsiaTheme="minorEastAsia"/>
                          <w:b w:val="0"/>
                          <w:i/>
                          <w:iCs/>
                          <w:color w:val="000000"/>
                          <w:kern w:val="2"/>
                          <w:sz w:val="24"/>
                          <w:szCs w:val="24"/>
                          <w:lang w:val="en-US" w:eastAsia="zh-CN" w:bidi="ar-SA"/>
                        </w:rPr>
                      </m:ctrlPr>
                    </m:e>
                    <m:sub>
                      <m:r>
                        <m:rPr/>
                        <w:rPr>
                          <w:rFonts w:hint="default" w:ascii="Cambria Math" w:hAnsi="Cambria Math" w:cs="Times New Roman"/>
                          <w:color w:val="000000"/>
                          <w:kern w:val="2"/>
                          <w:sz w:val="24"/>
                          <w:szCs w:val="24"/>
                          <w:lang w:val="en-US" w:eastAsia="zh-CN" w:bidi="ar-SA"/>
                        </w:rPr>
                        <m:t>service</m:t>
                      </m:r>
                      <m:ctrlPr>
                        <w:rPr>
                          <w:rFonts w:hint="default" w:ascii="Cambria Math" w:hAnsi="Cambria Math" w:cs="Times New Roman" w:eastAsiaTheme="minorEastAsia"/>
                          <w:b w:val="0"/>
                          <w:i/>
                          <w:iCs/>
                          <w:color w:val="000000"/>
                          <w:kern w:val="2"/>
                          <w:sz w:val="24"/>
                          <w:szCs w:val="24"/>
                          <w:lang w:val="en-US" w:eastAsia="zh-CN" w:bidi="ar-SA"/>
                        </w:rPr>
                      </m:ctrlPr>
                    </m:sub>
                  </m:sSub>
                  <m:ctrlPr>
                    <w:rPr>
                      <w:rFonts w:ascii="Cambria Math" w:hAnsi="Cambria Math" w:cs="Times New Roman"/>
                      <w:b w:val="0"/>
                      <w:i/>
                      <w:iCs/>
                      <w:color w:val="000000"/>
                      <w:kern w:val="2"/>
                      <w:sz w:val="20"/>
                      <w:szCs w:val="20"/>
                      <w:vertAlign w:val="baseline"/>
                      <w:lang w:val="en-US" w:bidi="ar-SA"/>
                    </w:rPr>
                  </m:ctrlPr>
                </m:e>
              </m:d>
            </m:oMath>
          </w:p>
        </w:tc>
        <w:tc>
          <w:tcPr>
            <w:tcW w:w="0" w:type="auto"/>
            <w:tcBorders>
              <w:top w:val="nil"/>
              <w:left w:val="nil"/>
              <w:bottom w:val="nil"/>
              <w:right w:val="nil"/>
            </w:tcBorders>
            <w:shd w:val="clear" w:color="auto" w:fill="FFFFFF"/>
          </w:tcPr>
          <w:p w14:paraId="7F47489E">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eastAsia" w:ascii="Times New Roman" w:hAnsi="Times New Roman" w:cs="Times New Roman"/>
                <w:b w:val="0"/>
                <w:i/>
                <w:iCs/>
                <w:color w:val="000000"/>
                <w:kern w:val="2"/>
                <w:sz w:val="20"/>
                <w:szCs w:val="20"/>
                <w:vertAlign w:val="baseline"/>
                <w:lang w:val="en-US" w:eastAsia="zh-CN" w:bidi="ar-SA"/>
              </w:rPr>
              <w:t>0.23</w:t>
            </w:r>
          </w:p>
        </w:tc>
        <w:tc>
          <w:tcPr>
            <w:tcW w:w="0" w:type="auto"/>
            <w:tcBorders>
              <w:top w:val="nil"/>
              <w:left w:val="nil"/>
              <w:bottom w:val="nil"/>
              <w:right w:val="nil"/>
            </w:tcBorders>
            <w:shd w:val="clear" w:color="auto" w:fill="FFFFFF"/>
          </w:tcPr>
          <w:p w14:paraId="308B7BD3">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eastAsia" w:ascii="Times New Roman" w:hAnsi="Times New Roman" w:cs="Times New Roman"/>
                <w:b w:val="0"/>
                <w:i/>
                <w:iCs/>
                <w:color w:val="000000"/>
                <w:kern w:val="2"/>
                <w:sz w:val="20"/>
                <w:szCs w:val="20"/>
                <w:vertAlign w:val="baseline"/>
                <w:lang w:val="en-US" w:eastAsia="zh-CN" w:bidi="ar-SA"/>
              </w:rPr>
              <w:t>0.29</w:t>
            </w:r>
          </w:p>
        </w:tc>
        <w:tc>
          <w:tcPr>
            <w:tcW w:w="0" w:type="auto"/>
            <w:tcBorders>
              <w:top w:val="nil"/>
              <w:left w:val="nil"/>
              <w:bottom w:val="nil"/>
              <w:right w:val="nil"/>
            </w:tcBorders>
            <w:shd w:val="clear" w:color="auto" w:fill="FFFFFF"/>
          </w:tcPr>
          <w:p w14:paraId="5400C8D4">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eastAsia" w:ascii="Times New Roman" w:hAnsi="Times New Roman" w:cs="Times New Roman"/>
                <w:b w:val="0"/>
                <w:i/>
                <w:iCs/>
                <w:color w:val="000000"/>
                <w:kern w:val="2"/>
                <w:sz w:val="20"/>
                <w:szCs w:val="20"/>
                <w:vertAlign w:val="baseline"/>
                <w:lang w:val="en-US" w:eastAsia="zh-CN" w:bidi="ar-SA"/>
              </w:rPr>
              <w:t>0.06</w:t>
            </w:r>
          </w:p>
        </w:tc>
        <w:tc>
          <w:tcPr>
            <w:tcW w:w="0" w:type="auto"/>
            <w:tcBorders>
              <w:top w:val="nil"/>
              <w:left w:val="nil"/>
              <w:bottom w:val="nil"/>
              <w:right w:val="nil"/>
            </w:tcBorders>
            <w:shd w:val="clear" w:color="auto" w:fill="FFFFFF"/>
          </w:tcPr>
          <w:p w14:paraId="306527EC">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Continuity of actual delivered water service.</w:t>
            </w:r>
          </w:p>
        </w:tc>
      </w:tr>
      <w:tr w14:paraId="00DC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1F81D615">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Water Accounting</w:t>
            </w:r>
          </w:p>
        </w:tc>
        <w:tc>
          <w:tcPr>
            <w:tcW w:w="0" w:type="auto"/>
            <w:tcBorders>
              <w:top w:val="nil"/>
              <w:left w:val="nil"/>
              <w:bottom w:val="nil"/>
              <w:right w:val="nil"/>
            </w:tcBorders>
            <w:shd w:val="clear" w:color="auto" w:fill="FFFFFF"/>
          </w:tcPr>
          <w:p w14:paraId="6B01481B">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Delivered Volume</w:t>
            </w:r>
            <w:r>
              <w:rPr>
                <w:rFonts w:hint="eastAsia" w:ascii="Times New Roman" w:hAnsi="Times New Roman" w:cs="Times New Roman"/>
                <w:b w:val="0"/>
                <w:i/>
                <w:iCs/>
                <w:color w:val="000000"/>
                <w:kern w:val="2"/>
                <w:sz w:val="20"/>
                <w:szCs w:val="20"/>
                <w:vertAlign w:val="baseline"/>
                <w:lang w:val="en-US" w:eastAsia="zh-CN" w:bidi="ar-SA"/>
              </w:rPr>
              <w:t xml:space="preserve"> </w:t>
            </w:r>
            <m:oMath>
              <m:d>
                <m:dPr>
                  <m:ctrlPr>
                    <w:rPr>
                      <w:rFonts w:ascii="Cambria Math" w:hAnsi="Cambria Math" w:cs="Times New Roman"/>
                      <w:b w:val="0"/>
                      <w:i/>
                      <w:iCs/>
                      <w:color w:val="000000"/>
                      <w:kern w:val="2"/>
                      <w:sz w:val="20"/>
                      <w:szCs w:val="20"/>
                      <w:vertAlign w:val="baseline"/>
                      <w:lang w:val="en-US" w:bidi="ar-SA"/>
                    </w:rPr>
                  </m:ctrlPr>
                </m:dPr>
                <m:e>
                  <m:sSub>
                    <m:sSubPr>
                      <m:ctrlPr>
                        <w:rPr>
                          <w:rFonts w:ascii="Cambria Math" w:hAnsi="Cambria Math" w:cs="Cambria Math"/>
                          <w:b w:val="0"/>
                          <w:i/>
                          <w:iCs/>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V</m:t>
                      </m:r>
                      <m:ctrlPr>
                        <w:rPr>
                          <w:rFonts w:ascii="Cambria Math" w:hAnsi="Cambria Math" w:cs="Cambria Math"/>
                          <w:b w:val="0"/>
                          <w:i/>
                          <w:iCs/>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del</m:t>
                      </m:r>
                      <m:ctrlPr>
                        <w:rPr>
                          <w:rFonts w:ascii="Cambria Math" w:hAnsi="Cambria Math" w:cs="Cambria Math"/>
                          <w:b w:val="0"/>
                          <w:i/>
                          <w:iCs/>
                          <w:color w:val="000000"/>
                          <w:kern w:val="2"/>
                          <w:sz w:val="24"/>
                          <w:szCs w:val="24"/>
                          <w:lang w:val="en-US" w:bidi="ar-SA"/>
                        </w:rPr>
                      </m:ctrlPr>
                    </m:sub>
                  </m:sSub>
                  <m:ctrlPr>
                    <w:rPr>
                      <w:rFonts w:ascii="Cambria Math" w:hAnsi="Cambria Math" w:cs="Times New Roman"/>
                      <w:b w:val="0"/>
                      <w:i/>
                      <w:iCs/>
                      <w:color w:val="000000"/>
                      <w:kern w:val="2"/>
                      <w:sz w:val="20"/>
                      <w:szCs w:val="20"/>
                      <w:vertAlign w:val="baseline"/>
                      <w:lang w:val="en-US" w:bidi="ar-SA"/>
                    </w:rPr>
                  </m:ctrlPr>
                </m:e>
              </m:d>
            </m:oMath>
          </w:p>
        </w:tc>
        <w:tc>
          <w:tcPr>
            <w:tcW w:w="0" w:type="auto"/>
            <w:tcBorders>
              <w:top w:val="nil"/>
              <w:left w:val="nil"/>
              <w:bottom w:val="nil"/>
              <w:right w:val="nil"/>
            </w:tcBorders>
            <w:shd w:val="clear" w:color="auto" w:fill="FFFFFF"/>
          </w:tcPr>
          <w:p w14:paraId="7322CD05">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1,353.5</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p>
        </w:tc>
        <w:tc>
          <w:tcPr>
            <w:tcW w:w="0" w:type="auto"/>
            <w:tcBorders>
              <w:top w:val="nil"/>
              <w:left w:val="nil"/>
              <w:bottom w:val="nil"/>
              <w:right w:val="nil"/>
            </w:tcBorders>
            <w:shd w:val="clear" w:color="auto" w:fill="FFFFFF"/>
          </w:tcPr>
          <w:p w14:paraId="4314984B">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1,843.1</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p>
        </w:tc>
        <w:tc>
          <w:tcPr>
            <w:tcW w:w="0" w:type="auto"/>
            <w:tcBorders>
              <w:top w:val="nil"/>
              <w:left w:val="nil"/>
              <w:bottom w:val="nil"/>
              <w:right w:val="nil"/>
            </w:tcBorders>
            <w:shd w:val="clear" w:color="auto" w:fill="FFFFFF"/>
          </w:tcPr>
          <w:p w14:paraId="3803F3E1">
            <w:pPr>
              <w:widowControl w:val="0"/>
              <w:jc w:val="left"/>
              <w:rPr>
                <w:rFonts w:hint="eastAsia"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+489.6</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r>
              <w:rPr>
                <w:rFonts w:hint="eastAsia" w:hAnsi="Cambria Math" w:cs="Times New Roman"/>
                <w:b w:val="0"/>
                <w:i/>
                <w:iCs/>
                <w:color w:val="000000"/>
                <w:kern w:val="2"/>
                <w:sz w:val="24"/>
                <w:szCs w:val="24"/>
                <w:lang w:val="en-US" w:eastAsia="zh-CN" w:bidi="ar-SA"/>
              </w:rPr>
              <w:t xml:space="preserve"> </w:t>
            </w:r>
            <w:r>
              <w:rPr>
                <w:rFonts w:hint="default" w:ascii="Times New Roman" w:hAnsi="Times New Roman" w:cs="Times New Roman"/>
                <w:b w:val="0"/>
                <w:i/>
                <w:iCs/>
                <w:color w:val="000000"/>
                <w:kern w:val="2"/>
                <w:sz w:val="20"/>
                <w:szCs w:val="20"/>
                <w:lang w:val="en-US" w:eastAsia="zh-CN" w:bidi="ar-SA"/>
              </w:rPr>
              <w:t>(+36.2%)</w:t>
            </w:r>
          </w:p>
        </w:tc>
        <w:tc>
          <w:tcPr>
            <w:tcW w:w="0" w:type="auto"/>
            <w:tcBorders>
              <w:top w:val="nil"/>
              <w:left w:val="nil"/>
              <w:bottom w:val="nil"/>
              <w:right w:val="nil"/>
            </w:tcBorders>
            <w:shd w:val="clear" w:color="auto" w:fill="FFFFFF"/>
          </w:tcPr>
          <w:p w14:paraId="36F78CBC">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Net gain in actual water delivered to consumers.</w:t>
            </w:r>
          </w:p>
        </w:tc>
      </w:tr>
      <w:tr w14:paraId="51A1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098BB83D">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p>
        </w:tc>
        <w:tc>
          <w:tcPr>
            <w:tcW w:w="0" w:type="auto"/>
            <w:tcBorders>
              <w:top w:val="nil"/>
              <w:left w:val="nil"/>
              <w:bottom w:val="nil"/>
              <w:right w:val="nil"/>
            </w:tcBorders>
            <w:shd w:val="clear" w:color="auto" w:fill="FFFFFF"/>
          </w:tcPr>
          <w:p w14:paraId="32F197E1">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Unmet Demand</w:t>
            </w:r>
            <w:r>
              <w:rPr>
                <w:rFonts w:hint="eastAsia" w:ascii="Times New Roman" w:hAnsi="Times New Roman" w:cs="Times New Roman"/>
                <w:b w:val="0"/>
                <w:i/>
                <w:iCs/>
                <w:color w:val="000000"/>
                <w:kern w:val="2"/>
                <w:sz w:val="20"/>
                <w:szCs w:val="20"/>
                <w:vertAlign w:val="baseline"/>
                <w:lang w:val="en-US" w:eastAsia="zh-CN" w:bidi="ar-SA"/>
              </w:rPr>
              <w:t xml:space="preserve"> </w:t>
            </w:r>
            <m:oMath>
              <m:d>
                <m:dPr>
                  <m:ctrlPr>
                    <w:rPr>
                      <w:rFonts w:ascii="Cambria Math" w:hAnsi="Cambria Math" w:cs="Times New Roman"/>
                      <w:b w:val="0"/>
                      <w:i/>
                      <w:iCs/>
                      <w:color w:val="000000"/>
                      <w:kern w:val="2"/>
                      <w:sz w:val="20"/>
                      <w:szCs w:val="20"/>
                      <w:vertAlign w:val="baseline"/>
                      <w:lang w:val="en-US" w:bidi="ar-SA"/>
                    </w:rPr>
                  </m:ctrlPr>
                </m:dPr>
                <m:e>
                  <m:sSub>
                    <m:sSubPr>
                      <m:ctrlPr>
                        <w:rPr>
                          <w:rFonts w:ascii="Cambria Math" w:hAnsi="Cambria Math" w:cs="Cambria Math"/>
                          <w:b w:val="0"/>
                          <w:i/>
                          <w:iCs/>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V</m:t>
                      </m:r>
                      <m:ctrlPr>
                        <w:rPr>
                          <w:rFonts w:ascii="Cambria Math" w:hAnsi="Cambria Math" w:cs="Cambria Math"/>
                          <w:b w:val="0"/>
                          <w:i/>
                          <w:iCs/>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unmet</m:t>
                      </m:r>
                      <m:ctrlPr>
                        <w:rPr>
                          <w:rFonts w:ascii="Cambria Math" w:hAnsi="Cambria Math" w:cs="Cambria Math"/>
                          <w:b w:val="0"/>
                          <w:i/>
                          <w:iCs/>
                          <w:color w:val="000000"/>
                          <w:kern w:val="2"/>
                          <w:sz w:val="24"/>
                          <w:szCs w:val="24"/>
                          <w:lang w:val="en-US" w:bidi="ar-SA"/>
                        </w:rPr>
                      </m:ctrlPr>
                    </m:sub>
                  </m:sSub>
                  <m:ctrlPr>
                    <w:rPr>
                      <w:rFonts w:ascii="Cambria Math" w:hAnsi="Cambria Math" w:cs="Times New Roman"/>
                      <w:b w:val="0"/>
                      <w:i/>
                      <w:iCs/>
                      <w:color w:val="000000"/>
                      <w:kern w:val="2"/>
                      <w:sz w:val="20"/>
                      <w:szCs w:val="20"/>
                      <w:vertAlign w:val="baseline"/>
                      <w:lang w:val="en-US" w:bidi="ar-SA"/>
                    </w:rPr>
                  </m:ctrlPr>
                </m:e>
              </m:d>
            </m:oMath>
          </w:p>
        </w:tc>
        <w:tc>
          <w:tcPr>
            <w:tcW w:w="0" w:type="auto"/>
            <w:tcBorders>
              <w:top w:val="nil"/>
              <w:left w:val="nil"/>
              <w:bottom w:val="nil"/>
              <w:right w:val="nil"/>
            </w:tcBorders>
            <w:shd w:val="clear" w:color="auto" w:fill="FFFFFF"/>
          </w:tcPr>
          <w:p w14:paraId="75786715">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6,469.3</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p>
        </w:tc>
        <w:tc>
          <w:tcPr>
            <w:tcW w:w="0" w:type="auto"/>
            <w:tcBorders>
              <w:top w:val="nil"/>
              <w:left w:val="nil"/>
              <w:bottom w:val="nil"/>
              <w:right w:val="nil"/>
            </w:tcBorders>
            <w:shd w:val="clear" w:color="auto" w:fill="FFFFFF"/>
          </w:tcPr>
          <w:p w14:paraId="318C9FAB">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5,979.7</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p>
        </w:tc>
        <w:tc>
          <w:tcPr>
            <w:tcW w:w="0" w:type="auto"/>
            <w:tcBorders>
              <w:top w:val="nil"/>
              <w:left w:val="nil"/>
              <w:bottom w:val="nil"/>
              <w:right w:val="nil"/>
            </w:tcBorders>
            <w:shd w:val="clear" w:color="auto" w:fill="FFFFFF"/>
          </w:tcPr>
          <w:p w14:paraId="0C2522F3">
            <w:pPr>
              <w:widowControl w:val="0"/>
              <w:jc w:val="left"/>
              <w:rPr>
                <w:rFonts w:hint="eastAsia"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−489.6</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r>
              <w:rPr>
                <w:rFonts w:hint="eastAsia" w:hAnsi="Cambria Math" w:cs="Times New Roman"/>
                <w:b w:val="0"/>
                <w:i/>
                <w:iCs/>
                <w:color w:val="000000"/>
                <w:kern w:val="2"/>
                <w:sz w:val="24"/>
                <w:szCs w:val="24"/>
                <w:lang w:val="en-US" w:eastAsia="zh-CN" w:bidi="ar-SA"/>
              </w:rPr>
              <w:t xml:space="preserve"> </w:t>
            </w:r>
            <w:r>
              <w:rPr>
                <w:rFonts w:hint="default" w:ascii="Times New Roman" w:hAnsi="Times New Roman" w:cs="Times New Roman"/>
                <w:b w:val="0"/>
                <w:i/>
                <w:iCs/>
                <w:color w:val="000000"/>
                <w:kern w:val="2"/>
                <w:sz w:val="20"/>
                <w:szCs w:val="20"/>
                <w:lang w:val="en-US" w:eastAsia="zh-CN" w:bidi="ar-SA"/>
              </w:rPr>
              <w:t>(-8.8%)</w:t>
            </w:r>
          </w:p>
        </w:tc>
        <w:tc>
          <w:tcPr>
            <w:tcW w:w="0" w:type="auto"/>
            <w:tcBorders>
              <w:top w:val="nil"/>
              <w:left w:val="nil"/>
              <w:bottom w:val="nil"/>
              <w:right w:val="nil"/>
            </w:tcBorders>
            <w:shd w:val="clear" w:color="auto" w:fill="FFFFFF"/>
          </w:tcPr>
          <w:p w14:paraId="0BD7FE90">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Net reduction in municipal water deficit.</w:t>
            </w:r>
          </w:p>
        </w:tc>
      </w:tr>
      <w:tr w14:paraId="5E30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61E23E24">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p>
        </w:tc>
        <w:tc>
          <w:tcPr>
            <w:tcW w:w="0" w:type="auto"/>
            <w:tcBorders>
              <w:top w:val="nil"/>
              <w:left w:val="nil"/>
              <w:bottom w:val="single" w:color="000000" w:sz="12" w:space="0"/>
              <w:right w:val="nil"/>
            </w:tcBorders>
            <w:shd w:val="clear" w:color="auto" w:fill="FFFFFF"/>
          </w:tcPr>
          <w:p w14:paraId="552FA844">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Nominal Demand</w:t>
            </w:r>
            <w:r>
              <w:rPr>
                <w:rFonts w:hint="eastAsia" w:ascii="Times New Roman" w:hAnsi="Times New Roman" w:cs="Times New Roman"/>
                <w:b w:val="0"/>
                <w:i/>
                <w:iCs/>
                <w:color w:val="000000"/>
                <w:kern w:val="2"/>
                <w:sz w:val="20"/>
                <w:szCs w:val="20"/>
                <w:vertAlign w:val="baseline"/>
                <w:lang w:val="en-US" w:eastAsia="zh-CN" w:bidi="ar-SA"/>
              </w:rPr>
              <w:t xml:space="preserve"> </w:t>
            </w:r>
            <m:oMath>
              <m:d>
                <m:dPr>
                  <m:ctrlPr>
                    <w:rPr>
                      <w:rFonts w:ascii="Cambria Math" w:hAnsi="Cambria Math" w:cs="Times New Roman"/>
                      <w:b w:val="0"/>
                      <w:i/>
                      <w:iCs/>
                      <w:color w:val="000000"/>
                      <w:kern w:val="2"/>
                      <w:sz w:val="20"/>
                      <w:szCs w:val="20"/>
                      <w:vertAlign w:val="baseline"/>
                      <w:lang w:val="en-US" w:bidi="ar-SA"/>
                    </w:rPr>
                  </m:ctrlPr>
                </m:dPr>
                <m:e>
                  <m:sSub>
                    <m:sSubPr>
                      <m:ctrlPr>
                        <w:rPr>
                          <w:rFonts w:ascii="Cambria Math" w:hAnsi="Cambria Math" w:cs="Times New Roman"/>
                          <w:b w:val="0"/>
                          <w:i/>
                          <w:iCs/>
                          <w:color w:val="000000"/>
                          <w:kern w:val="2"/>
                          <w:sz w:val="20"/>
                          <w:szCs w:val="20"/>
                          <w:vertAlign w:val="baseline"/>
                          <w:lang w:val="en-US" w:bidi="ar-SA"/>
                        </w:rPr>
                      </m:ctrlPr>
                    </m:sSubPr>
                    <m:e>
                      <m:r>
                        <m:rPr/>
                        <w:rPr>
                          <w:rFonts w:hint="default" w:ascii="Cambria Math" w:hAnsi="Cambria Math" w:cs="Times New Roman"/>
                          <w:color w:val="000000"/>
                          <w:kern w:val="2"/>
                          <w:sz w:val="20"/>
                          <w:szCs w:val="20"/>
                          <w:vertAlign w:val="baseline"/>
                          <w:lang w:val="en-US" w:eastAsia="zh-CN" w:bidi="ar-SA"/>
                        </w:rPr>
                        <m:t>V</m:t>
                      </m:r>
                      <m:ctrlPr>
                        <w:rPr>
                          <w:rFonts w:ascii="Cambria Math" w:hAnsi="Cambria Math" w:cs="Times New Roman"/>
                          <w:b w:val="0"/>
                          <w:i/>
                          <w:iCs/>
                          <w:color w:val="000000"/>
                          <w:kern w:val="2"/>
                          <w:sz w:val="20"/>
                          <w:szCs w:val="20"/>
                          <w:vertAlign w:val="baseline"/>
                          <w:lang w:val="en-US" w:bidi="ar-SA"/>
                        </w:rPr>
                      </m:ctrlPr>
                    </m:e>
                    <m:sub>
                      <m:r>
                        <m:rPr/>
                        <w:rPr>
                          <w:rFonts w:hint="default" w:ascii="Cambria Math" w:hAnsi="Cambria Math" w:cs="Times New Roman"/>
                          <w:color w:val="000000"/>
                          <w:kern w:val="2"/>
                          <w:sz w:val="20"/>
                          <w:szCs w:val="20"/>
                          <w:vertAlign w:val="baseline"/>
                          <w:lang w:val="en-US" w:eastAsia="zh-CN" w:bidi="ar-SA"/>
                        </w:rPr>
                        <m:t>req</m:t>
                      </m:r>
                      <m:ctrlPr>
                        <w:rPr>
                          <w:rFonts w:ascii="Cambria Math" w:hAnsi="Cambria Math" w:cs="Times New Roman"/>
                          <w:b w:val="0"/>
                          <w:i/>
                          <w:iCs/>
                          <w:color w:val="000000"/>
                          <w:kern w:val="2"/>
                          <w:sz w:val="20"/>
                          <w:szCs w:val="20"/>
                          <w:vertAlign w:val="baseline"/>
                          <w:lang w:val="en-US" w:bidi="ar-SA"/>
                        </w:rPr>
                      </m:ctrlPr>
                    </m:sub>
                  </m:sSub>
                  <m:ctrlPr>
                    <w:rPr>
                      <w:rFonts w:ascii="Cambria Math" w:hAnsi="Cambria Math" w:cs="Times New Roman"/>
                      <w:b w:val="0"/>
                      <w:i/>
                      <w:iCs/>
                      <w:color w:val="000000"/>
                      <w:kern w:val="2"/>
                      <w:sz w:val="20"/>
                      <w:szCs w:val="20"/>
                      <w:vertAlign w:val="baseline"/>
                      <w:lang w:val="en-US" w:bidi="ar-SA"/>
                    </w:rPr>
                  </m:ctrlPr>
                </m:e>
              </m:d>
            </m:oMath>
          </w:p>
        </w:tc>
        <w:tc>
          <w:tcPr>
            <w:tcW w:w="0" w:type="auto"/>
            <w:tcBorders>
              <w:top w:val="nil"/>
              <w:left w:val="nil"/>
              <w:bottom w:val="single" w:color="000000" w:sz="12" w:space="0"/>
              <w:right w:val="nil"/>
            </w:tcBorders>
            <w:shd w:val="clear" w:color="auto" w:fill="FFFFFF"/>
          </w:tcPr>
          <w:p w14:paraId="1DE37E64">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7,822.8</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p>
        </w:tc>
        <w:tc>
          <w:tcPr>
            <w:tcW w:w="0" w:type="auto"/>
            <w:tcBorders>
              <w:top w:val="nil"/>
              <w:left w:val="nil"/>
              <w:bottom w:val="single" w:color="000000" w:sz="12" w:space="0"/>
              <w:right w:val="nil"/>
            </w:tcBorders>
            <w:shd w:val="clear" w:color="auto" w:fill="FFFFFF"/>
          </w:tcPr>
          <w:p w14:paraId="0BCB14A8">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7,822.8</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p>
        </w:tc>
        <w:tc>
          <w:tcPr>
            <w:tcW w:w="0" w:type="auto"/>
            <w:tcBorders>
              <w:top w:val="nil"/>
              <w:left w:val="nil"/>
              <w:bottom w:val="single" w:color="000000" w:sz="12" w:space="0"/>
              <w:right w:val="nil"/>
            </w:tcBorders>
            <w:shd w:val="clear" w:color="auto" w:fill="FFFFFF"/>
          </w:tcPr>
          <w:p w14:paraId="742B2B49">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 xml:space="preserve">0.0 </w:t>
            </w:r>
            <w:r>
              <w:rPr>
                <w:rFonts w:hint="eastAsia" w:ascii="Times New Roman" w:hAnsi="Times New Roman" w:cs="Times New Roman"/>
                <w:b w:val="0"/>
                <w:i/>
                <w:iCs/>
                <w:color w:val="000000"/>
                <w:kern w:val="2"/>
                <w:sz w:val="20"/>
                <w:szCs w:val="20"/>
                <w:vertAlign w:val="baseline"/>
                <w:lang w:val="en-US" w:eastAsia="zh-CN" w:bidi="ar-SA"/>
              </w:rPr>
              <w:t xml:space="preserve"> </w:t>
            </w:r>
            <m:oMath>
              <m:sSup>
                <m:sSupPr>
                  <m:ctrlPr>
                    <w:rPr>
                      <w:rFonts w:hint="default" w:ascii="Cambria Math" w:hAnsi="Cambria Math" w:cs="Times New Roman"/>
                      <w:b w:val="0"/>
                      <w:i/>
                      <w:iCs/>
                      <w:color w:val="000000"/>
                      <w:kern w:val="2"/>
                      <w:sz w:val="24"/>
                      <w:szCs w:val="24"/>
                      <w:lang w:val="en-US" w:bidi="ar-SA"/>
                    </w:rPr>
                  </m:ctrlPr>
                </m:sSupPr>
                <m:e>
                  <m:r>
                    <m:rPr>
                      <m:nor/>
                    </m:rPr>
                    <w:rPr>
                      <w:rFonts w:hint="default" w:ascii="Times New Roman" w:hAnsi="Times New Roman" w:cs="Times New Roman"/>
                      <w:b w:val="0"/>
                      <w:i/>
                      <w:color w:val="000000"/>
                      <w:kern w:val="2"/>
                      <w:sz w:val="24"/>
                      <w:szCs w:val="24"/>
                      <w:lang w:val="en-US" w:eastAsia="zh-CN" w:bidi="ar-SA"/>
                    </w:rPr>
                    <m:t>m</m:t>
                  </m:r>
                  <m:ctrlPr>
                    <w:rPr>
                      <w:rFonts w:hint="default" w:ascii="Cambria Math" w:hAnsi="Cambria Math" w:cs="Times New Roman"/>
                      <w:b w:val="0"/>
                      <w:i/>
                      <w:iCs/>
                      <w:color w:val="000000"/>
                      <w:kern w:val="2"/>
                      <w:sz w:val="24"/>
                      <w:szCs w:val="24"/>
                      <w:lang w:val="en-US" w:bidi="ar-SA"/>
                    </w:rPr>
                  </m:ctrlPr>
                </m:e>
                <m:sup>
                  <m:r>
                    <m:rPr>
                      <m:nor/>
                      <m:sty m:val="p"/>
                    </m:rPr>
                    <w:rPr>
                      <w:rFonts w:hint="default" w:ascii="Times New Roman" w:hAnsi="Times New Roman" w:cs="Times New Roman"/>
                      <w:b w:val="0"/>
                      <w:i w:val="0"/>
                      <w:color w:val="000000"/>
                      <w:kern w:val="2"/>
                      <w:sz w:val="24"/>
                      <w:szCs w:val="24"/>
                      <w:lang w:val="en-US" w:eastAsia="zh-CN" w:bidi="ar-SA"/>
                    </w:rPr>
                    <m:t>3</m:t>
                  </m:r>
                  <m:ctrlPr>
                    <w:rPr>
                      <w:rFonts w:hint="default" w:ascii="Cambria Math" w:hAnsi="Cambria Math" w:cs="Times New Roman"/>
                      <w:b w:val="0"/>
                      <w:i/>
                      <w:iCs/>
                      <w:color w:val="000000"/>
                      <w:kern w:val="2"/>
                      <w:sz w:val="24"/>
                      <w:szCs w:val="24"/>
                      <w:lang w:val="en-US" w:bidi="ar-SA"/>
                    </w:rPr>
                  </m:ctrlPr>
                </m:sup>
              </m:sSup>
            </m:oMath>
          </w:p>
        </w:tc>
        <w:tc>
          <w:tcPr>
            <w:tcW w:w="0" w:type="auto"/>
            <w:tcBorders>
              <w:top w:val="nil"/>
              <w:left w:val="nil"/>
              <w:bottom w:val="single" w:color="000000" w:sz="12" w:space="0"/>
              <w:right w:val="nil"/>
            </w:tcBorders>
            <w:shd w:val="clear" w:color="auto" w:fill="FFFFFF"/>
          </w:tcPr>
          <w:p w14:paraId="4489AFC1">
            <w:pPr>
              <w:widowControl w:val="0"/>
              <w:jc w:val="left"/>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Shared uncurtailed baseline water demand.</w:t>
            </w:r>
          </w:p>
        </w:tc>
      </w:tr>
    </w:tbl>
    <w:p w14:paraId="1199F684">
      <w:pPr>
        <w:widowControl w:val="0"/>
        <w:ind w:leftChars="0"/>
        <w:jc w:val="both"/>
        <w:rPr>
          <w:rFonts w:hint="default" w:ascii="Times New Roman" w:hAnsi="Times New Roman" w:cs="Times New Roman" w:eastAsiaTheme="minorEastAsia"/>
          <w:i/>
          <w:iCs/>
          <w:kern w:val="2"/>
          <w:sz w:val="24"/>
          <w:szCs w:val="24"/>
          <w:highlight w:val="none"/>
          <w:lang w:val="en-US" w:eastAsia="zh-CN" w:bidi="ar-SA"/>
        </w:rPr>
      </w:pPr>
    </w:p>
    <w:p w14:paraId="23D214C6">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cs="Times New Roman" w:eastAsiaTheme="minorEastAsia"/>
          <w:i/>
          <w:iCs/>
          <w:kern w:val="2"/>
          <w:sz w:val="24"/>
          <w:szCs w:val="24"/>
          <w:highlight w:val="none"/>
          <w:lang w:val="en-US" w:eastAsia="zh-CN" w:bidi="ar-SA"/>
        </w:rPr>
      </w:pPr>
      <w:r>
        <w:rPr>
          <w:rFonts w:hint="default" w:ascii="Georgia" w:hAnsi="Georgia" w:eastAsia="等线" w:cs="Times New Roman"/>
          <w:b/>
          <w:bCs/>
          <w:i/>
          <w:iCs/>
          <w:kern w:val="2"/>
          <w:sz w:val="24"/>
          <w:szCs w:val="24"/>
          <w:highlight w:val="none"/>
          <w:lang w:val="en-US" w:eastAsia="zh-CN" w:bidi="ar-SA"/>
        </w:rPr>
        <w:t>Comment 4</w:t>
      </w:r>
      <w:r>
        <w:rPr>
          <w:rFonts w:hint="eastAsia" w:ascii="Georgia" w:hAnsi="Georgia" w:eastAsia="等线" w:cs="Times New Roman"/>
          <w:b/>
          <w:bCs/>
          <w:i/>
          <w:iCs/>
          <w:kern w:val="2"/>
          <w:sz w:val="24"/>
          <w:szCs w:val="24"/>
          <w:highlight w:val="none"/>
          <w:lang w:val="en-US" w:eastAsia="zh-CN" w:bidi="ar-SA"/>
        </w:rPr>
        <w:t>: Cyber-Physical Contribution and Time-Difference Buffer Attribution</w:t>
      </w:r>
    </w:p>
    <w:p w14:paraId="5CC87AC1">
      <w:pPr>
        <w:widowControl w:val="0"/>
        <w:ind w:leftChars="0"/>
        <w:jc w:val="both"/>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Reviewer Comment:</w:t>
      </w:r>
    </w:p>
    <w:p w14:paraId="411CFCA0">
      <w:pPr>
        <w:widowControl w:val="0"/>
        <w:ind w:leftChars="0"/>
        <w:jc w:val="both"/>
        <w:rPr>
          <w:rFonts w:hint="default" w:ascii="Times New Roman" w:hAnsi="Times New Roman" w:eastAsia="宋体" w:cs="Times New Roman"/>
          <w:b w:val="0"/>
          <w:i/>
          <w:iCs/>
          <w:strike w:val="0"/>
          <w:color w:val="auto"/>
          <w:sz w:val="24"/>
          <w:szCs w:val="24"/>
          <w:u w:val="none"/>
          <w:lang w:val="en-US" w:eastAsia="zh-CN"/>
        </w:rPr>
      </w:pPr>
      <w:r>
        <w:rPr>
          <w:rFonts w:hint="default" w:ascii="Times New Roman" w:hAnsi="Times New Roman" w:cs="Times New Roman" w:eastAsiaTheme="minorEastAsia"/>
          <w:i/>
          <w:iCs/>
          <w:kern w:val="2"/>
          <w:sz w:val="24"/>
          <w:szCs w:val="24"/>
          <w:lang w:val="en-US" w:eastAsia="zh-CN" w:bidi="ar-SA"/>
        </w:rPr>
        <w:t>The cyber-physical contribution is not fully operationalized in the model. The manuscript describes a three-layer CPS architecture with PLCs, SCADA, gateway, and sensing links, but the simulation seems to use the cyber layer mainly for threshold-based classification. There is no clear modeling of communication delay, sensing error, packet loss, PLC behavior, or feedback control. Therefore, the “time-difference buffer” seems to come mainly from physical tank storage rather than from a modeled cyber-physical mechanism.</w:t>
      </w:r>
    </w:p>
    <w:p w14:paraId="1312A4B2">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p>
    <w:p w14:paraId="1D1A5E27">
      <w:pPr>
        <w:widowControl w:val="0"/>
        <w:ind w:leftChars="0"/>
        <w:jc w:val="both"/>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Author Response:</w:t>
      </w:r>
    </w:p>
    <w:p w14:paraId="0DA4C763">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We thank Reviewer for this incisive comment regarding CPS scope and mechanism attribution. We clarify both the model scope boundaries and the physical-cyber attribution logic:</w:t>
      </w:r>
    </w:p>
    <w:p w14:paraId="4AB2E656">
      <w:pPr>
        <w:widowControl w:val="0"/>
        <w:ind w:leftChars="0"/>
        <w:jc w:val="both"/>
        <w:rPr>
          <w:rFonts w:hint="default" w:ascii="Times New Roman" w:hAnsi="Times New Roman" w:cs="Times New Roman" w:eastAsiaTheme="minorEastAsia"/>
          <w:kern w:val="2"/>
          <w:sz w:val="24"/>
          <w:szCs w:val="24"/>
          <w:lang w:val="en-US" w:eastAsia="zh-CN" w:bidi="ar-SA"/>
        </w:rPr>
      </w:pPr>
    </w:p>
    <w:p w14:paraId="575ACECD">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1. </w:t>
      </w:r>
      <w:r>
        <w:rPr>
          <w:rFonts w:hint="default" w:ascii="Times New Roman" w:hAnsi="Times New Roman" w:cs="Times New Roman" w:eastAsiaTheme="minorEastAsia"/>
          <w:b/>
          <w:bCs/>
          <w:kern w:val="2"/>
          <w:sz w:val="24"/>
          <w:szCs w:val="24"/>
          <w:lang w:val="en-US" w:eastAsia="zh-CN" w:bidi="ar-SA"/>
        </w:rPr>
        <w:t xml:space="preserve">Scope Boundaries: </w:t>
      </w:r>
      <w:r>
        <w:rPr>
          <w:rFonts w:hint="default" w:ascii="Times New Roman" w:hAnsi="Times New Roman" w:cs="Times New Roman" w:eastAsiaTheme="minorEastAsia"/>
          <w:kern w:val="2"/>
          <w:sz w:val="24"/>
          <w:szCs w:val="24"/>
          <w:lang w:val="en-US" w:eastAsia="zh-CN" w:bidi="ar-SA"/>
        </w:rPr>
        <w:t>In Section 2.1, non-ideal communication phenomena (e.g., latency, packet loss, sensing noise) are explicitly declared as out-of-scope for this foundational study. Our goal is to establish the theoretical limit and hydraulic efficacy of proactive demand management under ideal cyber execution before introducing stochastic communication noise.</w:t>
      </w:r>
    </w:p>
    <w:p w14:paraId="314E609F">
      <w:pPr>
        <w:widowControl w:val="0"/>
        <w:ind w:leftChars="0"/>
        <w:jc w:val="both"/>
        <w:rPr>
          <w:rFonts w:hint="default" w:ascii="Times New Roman" w:hAnsi="Times New Roman" w:cs="Times New Roman" w:eastAsiaTheme="minorEastAsia"/>
          <w:kern w:val="2"/>
          <w:sz w:val="24"/>
          <w:szCs w:val="24"/>
          <w:lang w:val="en-US" w:eastAsia="zh-CN" w:bidi="ar-SA"/>
        </w:rPr>
      </w:pPr>
    </w:p>
    <w:p w14:paraId="0486489F">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2. </w:t>
      </w:r>
      <w:r>
        <w:rPr>
          <w:rFonts w:hint="default" w:ascii="Times New Roman" w:hAnsi="Times New Roman" w:cs="Times New Roman" w:eastAsiaTheme="minorEastAsia"/>
          <w:b/>
          <w:bCs/>
          <w:kern w:val="2"/>
          <w:sz w:val="24"/>
          <w:szCs w:val="24"/>
          <w:lang w:val="en-US" w:eastAsia="zh-CN" w:bidi="ar-SA"/>
        </w:rPr>
        <w:t xml:space="preserve">Mechanism Attribution (Physical Storage vs. Cyber Control): </w:t>
      </w:r>
      <w:r>
        <w:rPr>
          <w:rFonts w:hint="default" w:ascii="Times New Roman" w:hAnsi="Times New Roman" w:cs="Times New Roman" w:eastAsiaTheme="minorEastAsia"/>
          <w:kern w:val="2"/>
          <w:sz w:val="24"/>
          <w:szCs w:val="24"/>
          <w:lang w:val="en-US" w:eastAsia="zh-CN" w:bidi="ar-SA"/>
        </w:rPr>
        <w:t>We clarify that physical tank storage is the passive container of time budget, whereas cyber sensing and control provide the active mechanism that deploys this budget.</w:t>
      </w:r>
    </w:p>
    <w:p w14:paraId="4BE986A7">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 </w:t>
      </w:r>
      <w:r>
        <w:rPr>
          <w:rFonts w:hint="default" w:ascii="Times New Roman" w:hAnsi="Times New Roman" w:cs="Times New Roman" w:eastAsiaTheme="minorEastAsia"/>
          <w:kern w:val="2"/>
          <w:sz w:val="24"/>
          <w:szCs w:val="24"/>
          <w:lang w:val="en-US" w:eastAsia="zh-CN" w:bidi="ar-SA"/>
        </w:rPr>
        <w:t>Without cyber early warning, physical storage drains passively and uncontrollably within 6 hours.</w:t>
      </w:r>
    </w:p>
    <w:p w14:paraId="7C7A9790">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 </w:t>
      </w:r>
      <w:r>
        <w:rPr>
          <w:rFonts w:hint="default" w:ascii="Times New Roman" w:hAnsi="Times New Roman" w:cs="Times New Roman" w:eastAsiaTheme="minorEastAsia"/>
          <w:kern w:val="2"/>
          <w:sz w:val="24"/>
          <w:szCs w:val="24"/>
          <w:lang w:val="en-US" w:eastAsia="zh-CN" w:bidi="ar-SA"/>
        </w:rPr>
        <w:t>With cyber early warning, real-time SCADA telemetry detects drawdown, and the cyber control layer executes graded demand reduction, actively extending the tank discharge duration to over 24 hours.</w:t>
      </w:r>
    </w:p>
    <w:p w14:paraId="181B170D">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(3) </w:t>
      </w:r>
      <w:r>
        <w:rPr>
          <w:rFonts w:hint="default" w:ascii="Times New Roman" w:hAnsi="Times New Roman" w:cs="Times New Roman" w:eastAsiaTheme="minorEastAsia"/>
          <w:kern w:val="2"/>
          <w:sz w:val="24"/>
          <w:szCs w:val="24"/>
          <w:lang w:val="en-US" w:eastAsia="zh-CN" w:bidi="ar-SA"/>
        </w:rPr>
        <w:t>Therefore, the time-difference buffer is an emergent property of the coupled cyber-physical system: physical storage supplies the capacity, but cyber control unlocks its proactive resilience value.</w:t>
      </w:r>
    </w:p>
    <w:p w14:paraId="3096A528">
      <w:pPr>
        <w:widowControl w:val="0"/>
        <w:ind w:leftChars="0"/>
        <w:jc w:val="both"/>
        <w:rPr>
          <w:rFonts w:hint="default" w:ascii="Times New Roman" w:hAnsi="Times New Roman" w:cs="Times New Roman" w:eastAsiaTheme="minorEastAsia"/>
          <w:kern w:val="2"/>
          <w:sz w:val="24"/>
          <w:szCs w:val="24"/>
          <w:lang w:val="en-US" w:eastAsia="zh-CN" w:bidi="ar-SA"/>
        </w:rPr>
      </w:pPr>
    </w:p>
    <w:p w14:paraId="5BE7F714">
      <w:pPr>
        <w:widowControl w:val="0"/>
        <w:ind w:leftChars="0"/>
        <w:jc w:val="both"/>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Changes in Manuscript:</w:t>
      </w:r>
    </w:p>
    <w:p w14:paraId="7623772C">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In Section 4.1 (Discussion), the attribution logic has been updated:</w:t>
      </w:r>
    </w:p>
    <w:p w14:paraId="7837019D">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340899E2">
      <w:pPr>
        <w:widowControl w:val="0"/>
        <w:ind w:leftChars="0"/>
        <w:jc w:val="both"/>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4.1 Cyber-Physical Interaction and Time-Difference Buffer Attribution</w:t>
      </w:r>
    </w:p>
    <w:p w14:paraId="24B53320">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The proactive resilience demonstrated by the EWM framework emerges directly from the tight, closed-loop coupling across the three layers of the urban water supply CPS (Fig. 3). The Cyber Sensing Layer continuously polls tank telemetry and pump operational status at 300-s intervals. Upon pump shutdown at t = 24 h, the sensing layer detects storage drawdown within minutes, hours before physical pipe depressurization becomes severe. The Cyber Control Layer processes these signals, evaluates current tank levels against risk thresholds, applies a monotonic ratchet rule to prevent control oscillation, and transmits demand reduction multipliers (γ = 0.70, 0.40, 0.20) to distribution nodes. The Physical Hydraulic Layer responds by reducing volumetric discharge, slowing tank drainage (d H_{tank} / dt = (Q_{in} - Q_{out}) / A_{tank}), and keeping tank outlet valves submerged above 0.50 m.</w:t>
      </w:r>
    </w:p>
    <w:p w14:paraId="0661BCD5">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78A20488">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While physical storage provides the raw hydraulic capacity, the cyber layer actively manages the rate of consumption, converting passive water volume into an active time-difference buffer that sustains pipeline head above 0.10 MPa throughout the outage. Thus, proactive resilience is an emergent property of integrated cyber-physical coupling rather than a feature of physical storage alone.</w:t>
      </w:r>
    </w:p>
    <w:p w14:paraId="5FB61B53">
      <w:pPr>
        <w:widowControl w:val="0"/>
        <w:ind w:leftChars="0"/>
        <w:jc w:val="both"/>
        <w:rPr>
          <w:rFonts w:hint="default" w:ascii="Times New Roman" w:hAnsi="Times New Roman" w:cs="Times New Roman" w:eastAsiaTheme="minorEastAsia"/>
          <w:kern w:val="2"/>
          <w:sz w:val="24"/>
          <w:szCs w:val="24"/>
          <w:lang w:val="en-US" w:eastAsia="zh-CN" w:bidi="ar-SA"/>
        </w:rPr>
      </w:pPr>
    </w:p>
    <w:p w14:paraId="3BEF62EF">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highlight w:val="none"/>
          <w:lang w:val="en-US" w:eastAsia="zh-CN" w:bidi="ar-SA"/>
        </w:rPr>
      </w:pPr>
      <w:r>
        <w:rPr>
          <w:rFonts w:hint="default" w:ascii="Georgia" w:hAnsi="Georgia" w:eastAsia="等线" w:cs="Times New Roman"/>
          <w:b/>
          <w:bCs/>
          <w:i/>
          <w:iCs/>
          <w:kern w:val="2"/>
          <w:sz w:val="24"/>
          <w:szCs w:val="24"/>
          <w:highlight w:val="none"/>
          <w:lang w:val="en-US" w:eastAsia="zh-CN" w:bidi="ar-SA"/>
        </w:rPr>
        <w:t>Comment 5</w:t>
      </w:r>
      <w:r>
        <w:rPr>
          <w:rFonts w:hint="eastAsia" w:ascii="Georgia" w:hAnsi="Georgia" w:eastAsia="等线" w:cs="Times New Roman"/>
          <w:b/>
          <w:bCs/>
          <w:i/>
          <w:iCs/>
          <w:kern w:val="2"/>
          <w:sz w:val="24"/>
          <w:szCs w:val="24"/>
          <w:highlight w:val="none"/>
          <w:lang w:val="en-US" w:eastAsia="zh-CN" w:bidi="ar-SA"/>
        </w:rPr>
        <w:t>: Sensitivity Analysis and Operational Boundaries</w:t>
      </w:r>
    </w:p>
    <w:p w14:paraId="5736CC95">
      <w:pPr>
        <w:widowControl w:val="0"/>
        <w:ind w:leftChars="0"/>
        <w:jc w:val="both"/>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Reviewer Comment:</w:t>
      </w:r>
    </w:p>
    <w:p w14:paraId="0B8E13D9">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The evidence is based on a single deterministic scenario with fixed thresholds. The risk thresholds for tank levels and the specific water-source interruption case strongly determine the transition times and ΔT values, but the manuscript does not show whether the conclusions are robust to different demand patterns, thresholds, tank sizes, or failure assumptions. This limits the generality of the reported resilience improvement.</w:t>
      </w:r>
    </w:p>
    <w:p w14:paraId="42883B55">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7EFD922D">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等线" w:cs="Times New Roman"/>
          <w:b/>
          <w:bCs/>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Author Response:</w:t>
      </w:r>
    </w:p>
    <w:p w14:paraId="63A2551A">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val="0"/>
          <w:iCs w:val="0"/>
          <w:kern w:val="2"/>
          <w:sz w:val="24"/>
          <w:szCs w:val="24"/>
          <w:lang w:val="en-US" w:eastAsia="zh-CN" w:bidi="ar-SA"/>
        </w:rPr>
      </w:pPr>
      <w:r>
        <w:rPr>
          <w:rFonts w:hint="default" w:ascii="Times New Roman" w:hAnsi="Times New Roman" w:eastAsia="等线" w:cs="Times New Roman"/>
          <w:b w:val="0"/>
          <w:bCs w:val="0"/>
          <w:i w:val="0"/>
          <w:iCs w:val="0"/>
          <w:kern w:val="2"/>
          <w:sz w:val="24"/>
          <w:szCs w:val="24"/>
          <w:lang w:val="en-US" w:eastAsia="zh-CN" w:bidi="ar-SA"/>
        </w:rPr>
        <w:t>We fully accept Reviewer’s recommendation. To establish the generality and operational boundaries of our findings, we performed a comprehensive multi-factor sensitivity analysis covering 4 core factors across 5 levels each:</w:t>
      </w:r>
    </w:p>
    <w:p w14:paraId="5A365AC3">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1. Risk Threshold Shift  (ΔH∈[−1.0 m,+1.0 m]):</w:t>
      </w:r>
      <w:r>
        <w:rPr>
          <w:rFonts w:hint="default" w:ascii="Times New Roman" w:hAnsi="Times New Roman" w:eastAsia="等线" w:cs="Times New Roman"/>
          <w:b w:val="0"/>
          <w:bCs w:val="0"/>
          <w:i w:val="0"/>
          <w:iCs w:val="0"/>
          <w:kern w:val="2"/>
          <w:sz w:val="24"/>
          <w:szCs w:val="24"/>
          <w:lang w:val="en-US" w:eastAsia="zh-CN" w:bidi="ar-SA"/>
        </w:rPr>
        <w:t xml:space="preserve"> Delivered water volume gains remain consistently positive (+27.1% to +45.3%), proving that EWM performance is highly robust against threshold calibration variations.</w:t>
      </w:r>
    </w:p>
    <w:p w14:paraId="2E4F9914">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2. Tank Storage Diameter (Dtank∈[0.6×,1.4×]):</w:t>
      </w:r>
      <w:r>
        <w:rPr>
          <w:rFonts w:hint="default" w:ascii="Times New Roman" w:hAnsi="Times New Roman" w:eastAsia="等线" w:cs="Times New Roman"/>
          <w:b w:val="0"/>
          <w:bCs w:val="0"/>
          <w:i w:val="0"/>
          <w:iCs w:val="0"/>
          <w:kern w:val="2"/>
          <w:sz w:val="24"/>
          <w:szCs w:val="24"/>
          <w:lang w:val="en-US" w:eastAsia="zh-CN" w:bidi="ar-SA"/>
        </w:rPr>
        <w:t xml:space="preserve"> Demonstrates strong inverse dependency. In storage-constrained systems (0.6×), EWM yields a massive +208.2% gain in delivered water volume. In systems with large tanks (1.4×), passive storage is sufficient, making EWM demand curtailment redundant (+0.09% gain).</w:t>
      </w:r>
    </w:p>
    <w:p w14:paraId="5C572354">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 xml:space="preserve">3. Fault Duration (Tfault∈[12 h,48 h]): </w:t>
      </w:r>
      <w:r>
        <w:rPr>
          <w:rFonts w:hint="default" w:ascii="Times New Roman" w:hAnsi="Times New Roman" w:eastAsia="等线" w:cs="Times New Roman"/>
          <w:b w:val="0"/>
          <w:bCs w:val="0"/>
          <w:i w:val="0"/>
          <w:iCs w:val="0"/>
          <w:kern w:val="2"/>
          <w:sz w:val="24"/>
          <w:szCs w:val="24"/>
          <w:lang w:val="en-US" w:eastAsia="zh-CN" w:bidi="ar-SA"/>
        </w:rPr>
        <w:t>Uncovers a clear operational application boundary. For short outages (12 h), passive storage is adequate, and active curtailment causes a slight net reduction in delivered volume (−4.7%). For outages ≥18 h, EWM delivers substantial net positive gains (+36.2% at 24 h, +117.9% at 48 h).</w:t>
      </w:r>
    </w:p>
    <w:p w14:paraId="6AD9BA61">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4. Demand Multiplier Scan (1.0×–2.0×):</w:t>
      </w:r>
      <w:r>
        <w:rPr>
          <w:rFonts w:hint="default" w:ascii="Times New Roman" w:hAnsi="Times New Roman" w:eastAsia="等线" w:cs="Times New Roman"/>
          <w:b w:val="0"/>
          <w:bCs w:val="0"/>
          <w:i w:val="0"/>
          <w:iCs w:val="0"/>
          <w:kern w:val="2"/>
          <w:sz w:val="24"/>
          <w:szCs w:val="24"/>
          <w:lang w:val="en-US" w:eastAsia="zh-CN" w:bidi="ar-SA"/>
        </w:rPr>
        <w:t xml:space="preserve"> Placed in Supplementary Material.</w:t>
      </w:r>
    </w:p>
    <w:p w14:paraId="53E35F5D">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val="0"/>
          <w:iCs w:val="0"/>
          <w:kern w:val="2"/>
          <w:sz w:val="24"/>
          <w:szCs w:val="24"/>
          <w:lang w:val="en-US" w:eastAsia="zh-CN" w:bidi="ar-SA"/>
        </w:rPr>
      </w:pPr>
    </w:p>
    <w:p w14:paraId="5D0B61C8">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bCs/>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Changes in Manuscript:</w:t>
      </w:r>
    </w:p>
    <w:p w14:paraId="39442D96">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iCs/>
          <w:kern w:val="2"/>
          <w:sz w:val="24"/>
          <w:szCs w:val="24"/>
          <w:lang w:val="en-US" w:eastAsia="zh-CN" w:bidi="ar-SA"/>
        </w:rPr>
      </w:pPr>
      <w:r>
        <w:rPr>
          <w:rFonts w:hint="default" w:ascii="Times New Roman" w:hAnsi="Times New Roman" w:eastAsia="等线" w:cs="Times New Roman"/>
          <w:b w:val="0"/>
          <w:bCs w:val="0"/>
          <w:i/>
          <w:iCs/>
          <w:kern w:val="2"/>
          <w:sz w:val="24"/>
          <w:szCs w:val="24"/>
          <w:lang w:val="en-US" w:eastAsia="zh-CN" w:bidi="ar-SA"/>
        </w:rPr>
        <w:t>In Section 3.3, a new dedicated subsection titled "3.3 Multi-Factor Sensitivity Analysis and Operational Boundaries" has been added, featuring Table 6, Fig. 7, and Fig. 8:</w:t>
      </w:r>
    </w:p>
    <w:p w14:paraId="12D61AE3">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iCs/>
          <w:kern w:val="2"/>
          <w:sz w:val="24"/>
          <w:szCs w:val="24"/>
          <w:lang w:val="en-US" w:eastAsia="zh-CN" w:bidi="ar-SA"/>
        </w:rPr>
      </w:pPr>
    </w:p>
    <w:p w14:paraId="464B0B9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bCs/>
          <w:i/>
          <w:iCs/>
          <w:kern w:val="2"/>
          <w:sz w:val="24"/>
          <w:szCs w:val="24"/>
          <w:lang w:val="en-US" w:eastAsia="zh-CN" w:bidi="ar-SA"/>
        </w:rPr>
      </w:pPr>
      <w:r>
        <w:rPr>
          <w:rFonts w:hint="default" w:ascii="Times New Roman" w:hAnsi="Times New Roman" w:eastAsia="等线" w:cs="Times New Roman"/>
          <w:b/>
          <w:bCs/>
          <w:i/>
          <w:iCs/>
          <w:kern w:val="2"/>
          <w:sz w:val="24"/>
          <w:szCs w:val="24"/>
          <w:lang w:val="en-US" w:eastAsia="zh-CN" w:bidi="ar-SA"/>
        </w:rPr>
        <w:t>3.3 Multi-Factor Sensitivity Analysis and Operational Boundaries</w:t>
      </w:r>
    </w:p>
    <w:p w14:paraId="65230A30">
      <w:pPr>
        <w:spacing w:before="0" w:after="120" w:line="276" w:lineRule="auto"/>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To evaluate model robustness and identify operational application boundaries, a multi-factor sensitivity analysis was executed across risk threshold shifts (Δ H ∈ [-1.0, +1.0] m), tank storage scaling (D_{tank} ∈ [0.6×, 1.4×]), and outage durations (T_{fault} ∈ [12–48 h]). The visual trajectories and performance trade-offs are depicted in Fig. 7 and Fig. 8, with quantitative metrics summarized in Table 6.</w:t>
      </w:r>
    </w:p>
    <w:p w14:paraId="5046880C">
      <w:pPr>
        <w:spacing w:before="0" w:after="120" w:line="276" w:lineRule="auto"/>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Fig. 7 illustrates the sensitivity of delivered water volume gain across varying outage durations in Fig. 7(a) and tank storage capacities in Fig. 7(b):</w:t>
      </w:r>
    </w:p>
    <w:p w14:paraId="6C583DB2">
      <w:pPr>
        <w:spacing w:before="0" w:after="120" w:line="276" w:lineRule="auto"/>
        <w:rPr>
          <w:rFonts w:hint="default" w:ascii="Times New Roman" w:hAnsi="Times New Roman" w:cs="Times New Roman"/>
          <w:b w:val="0"/>
          <w:bCs w:val="0"/>
          <w:i/>
          <w:iCs/>
          <w:sz w:val="24"/>
          <w:szCs w:val="24"/>
        </w:rPr>
      </w:pPr>
      <w:r>
        <w:rPr>
          <w:rFonts w:hint="eastAsia" w:ascii="Times New Roman" w:hAnsi="Times New Roman" w:cs="Times New Roman"/>
          <w:b w:val="0"/>
          <w:bCs w:val="0"/>
          <w:i/>
          <w:iCs/>
          <w:sz w:val="24"/>
          <w:szCs w:val="24"/>
          <w:lang w:val="en-US" w:eastAsia="zh-CN"/>
        </w:rPr>
        <w:t xml:space="preserve">(1) </w:t>
      </w:r>
      <w:r>
        <w:rPr>
          <w:rFonts w:hint="default" w:ascii="Times New Roman" w:hAnsi="Times New Roman" w:cs="Times New Roman"/>
          <w:b w:val="0"/>
          <w:bCs w:val="0"/>
          <w:i/>
          <w:iCs/>
          <w:sz w:val="24"/>
          <w:szCs w:val="24"/>
        </w:rPr>
        <w:t>Outage Duration Sensitivity (Fig. 7(a)): The response trajectory reveals a critical operational application boundary at T_{fault} = 18 h. For short outages (T_{fault} = 12 h), passive tank storage is sufficient to maintain supply without reaching outlet closure; active demand curtailment under EWM causes unnecessary service restriction, resulting in a slight net reduction in delivered volume (-4.7%, represented by the over-curtailment region below 0%). Beyond 18 h, however, as uncurtailed tanks dry out, EWM yields massive positive gains, reaching +36.2% at 24 h and +117.9% at 48 h.</w:t>
      </w:r>
    </w:p>
    <w:p w14:paraId="505E4032">
      <w:pPr>
        <w:spacing w:before="0" w:after="120" w:line="276" w:lineRule="auto"/>
        <w:rPr>
          <w:rFonts w:hint="default" w:ascii="Times New Roman" w:hAnsi="Times New Roman" w:cs="Times New Roman"/>
          <w:b w:val="0"/>
          <w:bCs w:val="0"/>
          <w:i/>
          <w:iCs/>
          <w:sz w:val="24"/>
          <w:szCs w:val="24"/>
        </w:rPr>
      </w:pPr>
      <w:r>
        <w:rPr>
          <w:rFonts w:hint="eastAsia" w:ascii="Times New Roman" w:hAnsi="Times New Roman" w:cs="Times New Roman"/>
          <w:b w:val="0"/>
          <w:bCs w:val="0"/>
          <w:i/>
          <w:iCs/>
          <w:sz w:val="24"/>
          <w:szCs w:val="24"/>
          <w:lang w:val="en-US" w:eastAsia="zh-CN"/>
        </w:rPr>
        <w:t xml:space="preserve">(2) </w:t>
      </w:r>
      <w:r>
        <w:rPr>
          <w:rFonts w:hint="default" w:ascii="Times New Roman" w:hAnsi="Times New Roman" w:cs="Times New Roman"/>
          <w:b w:val="0"/>
          <w:bCs w:val="0"/>
          <w:i/>
          <w:iCs/>
          <w:sz w:val="24"/>
          <w:szCs w:val="24"/>
        </w:rPr>
        <w:t>Tank Capacity Sensitivity (Fig. 7(b)): The curve exhibits a steep negative slope, demonstrating a strong inverse storage dependency. In storage-constrained networks (0.6× diameter), passive storage exhausts rapidly, making EWM essential and yielding a massive +208.2% gain in delivered water volume. Conversely, in systems with large storage tanks (1.4× diameter), passive storage alone buffers the outage, rendering active load shedding redundant (+0.09% gain).</w:t>
      </w:r>
    </w:p>
    <w:p w14:paraId="797CD936">
      <w:pPr>
        <w:spacing w:before="160" w:after="80"/>
        <w:jc w:val="center"/>
        <w:rPr>
          <w:rFonts w:hint="default" w:ascii="Times New Roman" w:hAnsi="Times New Roman" w:cs="Times New Roman"/>
          <w:i/>
          <w:iCs/>
          <w:sz w:val="24"/>
          <w:szCs w:val="24"/>
        </w:rPr>
      </w:pPr>
      <w:r>
        <w:rPr>
          <w:rFonts w:hint="default" w:ascii="Times New Roman" w:hAnsi="Times New Roman" w:cs="Times New Roman"/>
          <w:i/>
          <w:iCs/>
          <w:sz w:val="24"/>
          <w:szCs w:val="24"/>
        </w:rPr>
        <w:drawing>
          <wp:inline distT="0" distB="0" distL="114300" distR="114300">
            <wp:extent cx="5303520" cy="2139950"/>
            <wp:effectExtent l="0" t="0" r="5080" b="635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8"/>
                    <a:stretch>
                      <a:fillRect/>
                    </a:stretch>
                  </pic:blipFill>
                  <pic:spPr>
                    <a:xfrm>
                      <a:off x="0" y="0"/>
                      <a:ext cx="5303520" cy="2140216"/>
                    </a:xfrm>
                    <a:prstGeom prst="rect">
                      <a:avLst/>
                    </a:prstGeom>
                  </pic:spPr>
                </pic:pic>
              </a:graphicData>
            </a:graphic>
          </wp:inline>
        </w:drawing>
      </w:r>
    </w:p>
    <w:p w14:paraId="66668CDF">
      <w:pPr>
        <w:spacing w:before="0" w:after="120" w:line="276" w:lineRule="auto"/>
        <w:rPr>
          <w:rFonts w:hint="default" w:ascii="Times New Roman" w:hAnsi="Times New Roman" w:cs="Times New Roman"/>
          <w:i/>
          <w:iCs/>
          <w:sz w:val="20"/>
          <w:szCs w:val="20"/>
        </w:rPr>
      </w:pPr>
      <w:r>
        <w:rPr>
          <w:rFonts w:hint="default" w:ascii="Times New Roman" w:hAnsi="Times New Roman" w:cs="Times New Roman"/>
          <w:b/>
          <w:i/>
          <w:iCs/>
          <w:sz w:val="20"/>
          <w:szCs w:val="20"/>
        </w:rPr>
        <w:t>Fig. 7. Sensitivity of delivered water volume gain and unmet demand reduction across outage durations (12–48 h, a) and tank storage capacities (0.6×–1.4×, b), highlighting the 18-h over-curtailment boundary and inverse storage dependency.</w:t>
      </w:r>
    </w:p>
    <w:p w14:paraId="5F691777">
      <w:pPr>
        <w:spacing w:before="0" w:after="120" w:line="276" w:lineRule="auto"/>
        <w:rPr>
          <w:rFonts w:hint="default" w:ascii="Times New Roman" w:hAnsi="Times New Roman" w:cs="Times New Roman"/>
          <w:i/>
          <w:iCs/>
          <w:sz w:val="24"/>
          <w:szCs w:val="24"/>
        </w:rPr>
      </w:pPr>
      <w:r>
        <w:rPr>
          <w:rFonts w:hint="default" w:ascii="Times New Roman" w:hAnsi="Times New Roman" w:cs="Times New Roman"/>
          <w:b w:val="0"/>
          <w:bCs/>
          <w:i/>
          <w:iCs/>
          <w:sz w:val="24"/>
          <w:szCs w:val="24"/>
        </w:rPr>
        <w:t xml:space="preserve">Fig. 8 </w:t>
      </w:r>
      <w:r>
        <w:rPr>
          <w:rFonts w:hint="default" w:ascii="Times New Roman" w:hAnsi="Times New Roman" w:cs="Times New Roman"/>
          <w:b w:val="0"/>
          <w:i/>
          <w:iCs/>
          <w:sz w:val="24"/>
          <w:szCs w:val="24"/>
        </w:rPr>
        <w:t>presents the response of Pressure Resilience Index (RI</w:t>
      </w:r>
      <w:r>
        <w:rPr>
          <w:rFonts w:hint="default" w:ascii="Times New Roman" w:hAnsi="Times New Roman" w:cs="Times New Roman"/>
          <w:b w:val="0"/>
          <w:i/>
          <w:iCs/>
          <w:sz w:val="24"/>
          <w:szCs w:val="24"/>
          <w:vertAlign w:val="subscript"/>
        </w:rPr>
        <w:t>pressure</w:t>
      </w:r>
      <w:r>
        <w:rPr>
          <w:rFonts w:hint="default" w:ascii="Times New Roman" w:hAnsi="Times New Roman" w:cs="Times New Roman"/>
          <w:b w:val="0"/>
          <w:i/>
          <w:iCs/>
          <w:sz w:val="24"/>
          <w:szCs w:val="24"/>
        </w:rPr>
        <w:t>) and Service Resilience Index (RI</w:t>
      </w:r>
      <w:r>
        <w:rPr>
          <w:rFonts w:hint="default" w:ascii="Times New Roman" w:hAnsi="Times New Roman" w:cs="Times New Roman"/>
          <w:b w:val="0"/>
          <w:i/>
          <w:iCs/>
          <w:sz w:val="24"/>
          <w:szCs w:val="24"/>
          <w:vertAlign w:val="subscript"/>
        </w:rPr>
        <w:t>service</w:t>
      </w:r>
      <w:r>
        <w:rPr>
          <w:rFonts w:hint="default" w:ascii="Times New Roman" w:hAnsi="Times New Roman" w:cs="Times New Roman"/>
          <w:b w:val="0"/>
          <w:i/>
          <w:iCs/>
          <w:sz w:val="24"/>
          <w:szCs w:val="24"/>
        </w:rPr>
        <w:t>) across risk threshold shifts (Δ H ∈ [-1.0, +1.0] m). Both metrics exhibit smooth, monotonic increases as thresholds are shifted upward (+1.0 m conservative triggering), with RI</w:t>
      </w:r>
      <w:r>
        <w:rPr>
          <w:rFonts w:hint="default" w:ascii="Times New Roman" w:hAnsi="Times New Roman" w:cs="Times New Roman"/>
          <w:b w:val="0"/>
          <w:i/>
          <w:iCs/>
          <w:sz w:val="24"/>
          <w:szCs w:val="24"/>
          <w:vertAlign w:val="subscript"/>
        </w:rPr>
        <w:t>pressure</w:t>
      </w:r>
      <w:r>
        <w:rPr>
          <w:rFonts w:hint="default" w:ascii="Times New Roman" w:hAnsi="Times New Roman" w:cs="Times New Roman"/>
          <w:b w:val="0"/>
          <w:i/>
          <w:iCs/>
          <w:sz w:val="24"/>
          <w:szCs w:val="24"/>
        </w:rPr>
        <w:t xml:space="preserve"> rising from 0.81 to 0.87 and RI</w:t>
      </w:r>
      <w:r>
        <w:rPr>
          <w:rFonts w:hint="default" w:ascii="Times New Roman" w:hAnsi="Times New Roman" w:cs="Times New Roman"/>
          <w:b w:val="0"/>
          <w:i/>
          <w:iCs/>
          <w:sz w:val="24"/>
          <w:szCs w:val="24"/>
          <w:vertAlign w:val="subscript"/>
        </w:rPr>
        <w:t>service</w:t>
      </w:r>
      <w:r>
        <w:rPr>
          <w:rFonts w:hint="default" w:ascii="Times New Roman" w:hAnsi="Times New Roman" w:cs="Times New Roman"/>
          <w:b w:val="0"/>
          <w:i/>
          <w:iCs/>
          <w:sz w:val="24"/>
          <w:szCs w:val="24"/>
        </w:rPr>
        <w:t xml:space="preserve"> rising from 0.27 to 0.30. Crucially, delivered volume gains remain robustly positive (+27.1% to +45.3%) across all threshold levels, proving that EWM performance is highly tolerant to threshold calibration variations.</w:t>
      </w:r>
    </w:p>
    <w:p w14:paraId="6984CAAE">
      <w:pPr>
        <w:spacing w:before="160" w:after="80"/>
        <w:jc w:val="center"/>
        <w:rPr>
          <w:rFonts w:hint="default" w:ascii="Times New Roman" w:hAnsi="Times New Roman" w:cs="Times New Roman"/>
          <w:i/>
          <w:iCs/>
          <w:sz w:val="24"/>
          <w:szCs w:val="24"/>
        </w:rPr>
      </w:pPr>
      <w:r>
        <w:rPr>
          <w:rFonts w:hint="default" w:ascii="Times New Roman" w:hAnsi="Times New Roman" w:cs="Times New Roman"/>
          <w:i/>
          <w:iCs/>
          <w:sz w:val="24"/>
          <w:szCs w:val="24"/>
        </w:rPr>
        <w:drawing>
          <wp:inline distT="0" distB="0" distL="114300" distR="114300">
            <wp:extent cx="5303520" cy="3149600"/>
            <wp:effectExtent l="0" t="0" r="508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9"/>
                    <a:stretch>
                      <a:fillRect/>
                    </a:stretch>
                  </pic:blipFill>
                  <pic:spPr>
                    <a:xfrm>
                      <a:off x="0" y="0"/>
                      <a:ext cx="5303520" cy="3149844"/>
                    </a:xfrm>
                    <a:prstGeom prst="rect">
                      <a:avLst/>
                    </a:prstGeom>
                  </pic:spPr>
                </pic:pic>
              </a:graphicData>
            </a:graphic>
          </wp:inline>
        </w:drawing>
      </w:r>
    </w:p>
    <w:p w14:paraId="4A365B95">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iCs/>
          <w:kern w:val="2"/>
          <w:sz w:val="20"/>
          <w:szCs w:val="20"/>
          <w:lang w:val="en-US" w:eastAsia="zh-CN" w:bidi="ar-SA"/>
        </w:rPr>
      </w:pPr>
      <w:r>
        <w:rPr>
          <w:rFonts w:hint="default" w:ascii="Times New Roman" w:hAnsi="Times New Roman" w:cs="Times New Roman"/>
          <w:b/>
          <w:i/>
          <w:iCs/>
          <w:sz w:val="20"/>
          <w:szCs w:val="20"/>
        </w:rPr>
        <w:t>Fig. 8. Sensitivity of Pressure Resilience Index (RI</w:t>
      </w:r>
      <w:r>
        <w:rPr>
          <w:rFonts w:hint="default" w:ascii="Times New Roman" w:hAnsi="Times New Roman" w:cs="Times New Roman"/>
          <w:b/>
          <w:i/>
          <w:iCs/>
          <w:sz w:val="20"/>
          <w:szCs w:val="20"/>
          <w:vertAlign w:val="subscript"/>
        </w:rPr>
        <w:t>pressure</w:t>
      </w:r>
      <w:r>
        <w:rPr>
          <w:rFonts w:hint="default" w:ascii="Times New Roman" w:hAnsi="Times New Roman" w:cs="Times New Roman"/>
          <w:b/>
          <w:i/>
          <w:iCs/>
          <w:sz w:val="20"/>
          <w:szCs w:val="20"/>
        </w:rPr>
        <w:t>) and Service Resilience Index (RI</w:t>
      </w:r>
      <w:r>
        <w:rPr>
          <w:rFonts w:hint="default" w:ascii="Times New Roman" w:hAnsi="Times New Roman" w:cs="Times New Roman"/>
          <w:b/>
          <w:i/>
          <w:iCs/>
          <w:sz w:val="20"/>
          <w:szCs w:val="20"/>
          <w:vertAlign w:val="subscript"/>
        </w:rPr>
        <w:t>service</w:t>
      </w:r>
      <w:r>
        <w:rPr>
          <w:rFonts w:hint="default" w:ascii="Times New Roman" w:hAnsi="Times New Roman" w:cs="Times New Roman"/>
          <w:b/>
          <w:i/>
          <w:iCs/>
          <w:sz w:val="20"/>
          <w:szCs w:val="20"/>
        </w:rPr>
        <w:t>) across risk threshold shifts (Δ H ∈ [-1.0, +1.0] m), demonstrating model robustness against threshold calibration uncertainty.</w:t>
      </w:r>
    </w:p>
    <w:p w14:paraId="5DFC87AB">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iCs/>
          <w:kern w:val="2"/>
          <w:sz w:val="20"/>
          <w:szCs w:val="20"/>
          <w:lang w:val="en-US" w:eastAsia="zh-CN" w:bidi="ar-SA"/>
        </w:rPr>
      </w:pPr>
      <w:r>
        <w:rPr>
          <w:rFonts w:hint="default" w:ascii="Times New Roman" w:hAnsi="Times New Roman" w:eastAsia="等线" w:cs="Times New Roman"/>
          <w:b w:val="0"/>
          <w:bCs w:val="0"/>
          <w:i/>
          <w:iCs/>
          <w:kern w:val="2"/>
          <w:sz w:val="20"/>
          <w:szCs w:val="20"/>
          <w:lang w:val="en-US" w:eastAsia="zh-CN" w:bidi="ar-SA"/>
        </w:rPr>
        <w:t>Table 6: Multi-factor sensitivity analysis and operational application boundaries</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056"/>
        <w:gridCol w:w="1163"/>
        <w:gridCol w:w="1030"/>
        <w:gridCol w:w="1059"/>
        <w:gridCol w:w="1124"/>
        <w:gridCol w:w="1990"/>
      </w:tblGrid>
      <w:tr w14:paraId="11BB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single" w:color="000000" w:sz="12" w:space="0"/>
              <w:left w:val="nil"/>
              <w:bottom w:val="single" w:color="000000" w:sz="4" w:space="0"/>
              <w:right w:val="nil"/>
              <w:tl2br w:val="nil"/>
            </w:tcBorders>
            <w:shd w:val="clear" w:color="auto" w:fill="FFFFFF"/>
          </w:tcPr>
          <w:p w14:paraId="69EBA02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val="0"/>
                <w:i/>
                <w:iCs/>
                <w:color w:val="000000"/>
                <w:kern w:val="2"/>
                <w:sz w:val="20"/>
                <w:szCs w:val="20"/>
                <w:vertAlign w:val="baseline"/>
                <w:lang w:val="en-US" w:eastAsia="zh-CN" w:bidi="ar-SA"/>
              </w:rPr>
            </w:pPr>
            <w:r>
              <w:rPr>
                <w:rFonts w:hint="default" w:ascii="Times New Roman" w:hAnsi="Times New Roman" w:eastAsia="等线" w:cs="Times New Roman"/>
                <w:b/>
                <w:bCs w:val="0"/>
                <w:i/>
                <w:iCs/>
                <w:color w:val="000000"/>
                <w:kern w:val="2"/>
                <w:sz w:val="20"/>
                <w:szCs w:val="20"/>
                <w:vertAlign w:val="baseline"/>
                <w:lang w:val="en-US" w:eastAsia="zh-CN" w:bidi="ar-SA"/>
              </w:rPr>
              <w:t>Sensitivity Factor</w:t>
            </w:r>
          </w:p>
        </w:tc>
        <w:tc>
          <w:tcPr>
            <w:tcW w:w="619" w:type="pct"/>
            <w:tcBorders>
              <w:top w:val="single" w:color="000000" w:sz="12" w:space="0"/>
              <w:left w:val="nil"/>
              <w:bottom w:val="single" w:color="000000" w:sz="4" w:space="0"/>
              <w:right w:val="nil"/>
            </w:tcBorders>
            <w:shd w:val="clear" w:color="auto" w:fill="FFFFFF"/>
          </w:tcPr>
          <w:p w14:paraId="36137B9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val="0"/>
                <w:i/>
                <w:iCs/>
                <w:color w:val="000000"/>
                <w:kern w:val="2"/>
                <w:sz w:val="20"/>
                <w:szCs w:val="20"/>
                <w:vertAlign w:val="baseline"/>
                <w:lang w:val="en-US" w:eastAsia="zh-CN" w:bidi="ar-SA"/>
              </w:rPr>
            </w:pPr>
            <w:r>
              <w:rPr>
                <w:rFonts w:hint="default" w:ascii="Times New Roman" w:hAnsi="Times New Roman" w:eastAsia="等线" w:cs="Times New Roman"/>
                <w:b/>
                <w:bCs w:val="0"/>
                <w:i/>
                <w:iCs/>
                <w:color w:val="000000"/>
                <w:kern w:val="2"/>
                <w:sz w:val="20"/>
                <w:szCs w:val="20"/>
                <w:vertAlign w:val="baseline"/>
                <w:lang w:val="en-US" w:eastAsia="zh-CN" w:bidi="ar-SA"/>
              </w:rPr>
              <w:t>Factor Level</w:t>
            </w:r>
          </w:p>
        </w:tc>
        <w:tc>
          <w:tcPr>
            <w:tcW w:w="682" w:type="pct"/>
            <w:tcBorders>
              <w:top w:val="single" w:color="000000" w:sz="12" w:space="0"/>
              <w:left w:val="nil"/>
              <w:bottom w:val="single" w:color="000000" w:sz="4" w:space="0"/>
              <w:right w:val="nil"/>
            </w:tcBorders>
            <w:shd w:val="clear" w:color="auto" w:fill="FFFFFF"/>
          </w:tcPr>
          <w:p w14:paraId="6A33DB2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val="0"/>
                <w:i/>
                <w:iCs/>
                <w:color w:val="000000"/>
                <w:kern w:val="2"/>
                <w:sz w:val="20"/>
                <w:szCs w:val="20"/>
                <w:vertAlign w:val="baseline"/>
                <w:lang w:val="en-US" w:eastAsia="zh-CN" w:bidi="ar-SA"/>
              </w:rPr>
            </w:pPr>
            <w:r>
              <w:rPr>
                <w:rFonts w:hint="default" w:ascii="Times New Roman" w:hAnsi="Times New Roman" w:eastAsia="等线" w:cs="Times New Roman"/>
                <w:b/>
                <w:bCs w:val="0"/>
                <w:i/>
                <w:iCs/>
                <w:color w:val="000000"/>
                <w:kern w:val="2"/>
                <w:sz w:val="20"/>
                <w:szCs w:val="20"/>
                <w:vertAlign w:val="baseline"/>
                <w:lang w:val="en-US" w:eastAsia="zh-CN" w:bidi="ar-SA"/>
              </w:rPr>
              <w:t>RIpressure</w:t>
            </w:r>
            <w:r>
              <w:rPr>
                <w:rFonts w:hint="eastAsia" w:ascii="Times New Roman" w:hAnsi="Times New Roman" w:eastAsia="等线" w:cs="Times New Roman"/>
                <w:b/>
                <w:bCs w:val="0"/>
                <w:i/>
                <w:iCs/>
                <w:color w:val="000000"/>
                <w:kern w:val="2"/>
                <w:sz w:val="20"/>
                <w:szCs w:val="20"/>
                <w:vertAlign w:val="baseline"/>
                <w:lang w:val="en-US" w:eastAsia="zh-CN" w:bidi="ar-SA"/>
              </w:rPr>
              <w:t xml:space="preserve"> </w:t>
            </w:r>
            <w:r>
              <w:rPr>
                <w:rFonts w:hint="default" w:ascii="Times New Roman" w:hAnsi="Times New Roman" w:eastAsia="等线" w:cs="Times New Roman"/>
                <w:b/>
                <w:bCs w:val="0"/>
                <w:i/>
                <w:iCs/>
                <w:color w:val="000000"/>
                <w:kern w:val="2"/>
                <w:sz w:val="20"/>
                <w:szCs w:val="20"/>
                <w:vertAlign w:val="baseline"/>
                <w:lang w:val="en-US" w:eastAsia="zh-CN" w:bidi="ar-SA"/>
              </w:rPr>
              <w:t>(No / With)</w:t>
            </w:r>
          </w:p>
        </w:tc>
        <w:tc>
          <w:tcPr>
            <w:tcW w:w="604" w:type="pct"/>
            <w:tcBorders>
              <w:top w:val="single" w:color="000000" w:sz="12" w:space="0"/>
              <w:left w:val="nil"/>
              <w:bottom w:val="single" w:color="000000" w:sz="4" w:space="0"/>
              <w:right w:val="nil"/>
            </w:tcBorders>
            <w:shd w:val="clear" w:color="auto" w:fill="FFFFFF"/>
          </w:tcPr>
          <w:p w14:paraId="7188989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val="0"/>
                <w:i/>
                <w:iCs/>
                <w:color w:val="000000"/>
                <w:kern w:val="2"/>
                <w:sz w:val="20"/>
                <w:szCs w:val="20"/>
                <w:vertAlign w:val="baseline"/>
                <w:lang w:val="en-US" w:eastAsia="zh-CN" w:bidi="ar-SA"/>
              </w:rPr>
            </w:pPr>
            <w:r>
              <w:rPr>
                <w:rFonts w:hint="default" w:ascii="Times New Roman" w:hAnsi="Times New Roman" w:eastAsia="等线" w:cs="Times New Roman"/>
                <w:b/>
                <w:bCs w:val="0"/>
                <w:i/>
                <w:iCs/>
                <w:color w:val="000000"/>
                <w:kern w:val="2"/>
                <w:sz w:val="20"/>
                <w:szCs w:val="20"/>
                <w:vertAlign w:val="baseline"/>
                <w:lang w:val="en-US" w:eastAsia="zh-CN" w:bidi="ar-SA"/>
              </w:rPr>
              <w:t>RIservice</w:t>
            </w:r>
            <w:r>
              <w:rPr>
                <w:rFonts w:hint="eastAsia" w:ascii="Times New Roman" w:hAnsi="Times New Roman" w:eastAsia="等线" w:cs="Times New Roman"/>
                <w:b/>
                <w:bCs w:val="0"/>
                <w:i/>
                <w:iCs/>
                <w:color w:val="000000"/>
                <w:kern w:val="2"/>
                <w:sz w:val="20"/>
                <w:szCs w:val="20"/>
                <w:vertAlign w:val="baseline"/>
                <w:lang w:val="en-US" w:eastAsia="zh-CN" w:bidi="ar-SA"/>
              </w:rPr>
              <w:t xml:space="preserve"> </w:t>
            </w:r>
            <w:r>
              <w:rPr>
                <w:rFonts w:hint="default" w:ascii="Times New Roman" w:hAnsi="Times New Roman" w:eastAsia="等线" w:cs="Times New Roman"/>
                <w:b/>
                <w:bCs w:val="0"/>
                <w:i/>
                <w:iCs/>
                <w:color w:val="000000"/>
                <w:kern w:val="2"/>
                <w:sz w:val="20"/>
                <w:szCs w:val="20"/>
                <w:vertAlign w:val="baseline"/>
                <w:lang w:val="en-US" w:eastAsia="zh-CN" w:bidi="ar-SA"/>
              </w:rPr>
              <w:t>(No / With)</w:t>
            </w:r>
          </w:p>
        </w:tc>
        <w:tc>
          <w:tcPr>
            <w:tcW w:w="621" w:type="pct"/>
            <w:tcBorders>
              <w:top w:val="single" w:color="000000" w:sz="12" w:space="0"/>
              <w:left w:val="nil"/>
              <w:bottom w:val="single" w:color="000000" w:sz="4" w:space="0"/>
              <w:right w:val="nil"/>
            </w:tcBorders>
            <w:shd w:val="clear" w:color="auto" w:fill="FFFFFF"/>
          </w:tcPr>
          <w:p w14:paraId="2F7A3C4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val="0"/>
                <w:i/>
                <w:iCs/>
                <w:color w:val="000000"/>
                <w:kern w:val="2"/>
                <w:sz w:val="20"/>
                <w:szCs w:val="20"/>
                <w:vertAlign w:val="baseline"/>
                <w:lang w:val="en-US" w:eastAsia="zh-CN" w:bidi="ar-SA"/>
              </w:rPr>
            </w:pPr>
            <w:r>
              <w:rPr>
                <w:rFonts w:hint="default" w:ascii="Times New Roman" w:hAnsi="Times New Roman" w:eastAsia="等线" w:cs="Times New Roman"/>
                <w:b/>
                <w:bCs w:val="0"/>
                <w:i/>
                <w:iCs/>
                <w:color w:val="000000"/>
                <w:kern w:val="2"/>
                <w:sz w:val="20"/>
                <w:szCs w:val="20"/>
                <w:vertAlign w:val="baseline"/>
                <w:lang w:val="en-US" w:eastAsia="zh-CN" w:bidi="ar-SA"/>
              </w:rPr>
              <w:t>Delivered Volume</w:t>
            </w:r>
            <w:r>
              <w:rPr>
                <w:rFonts w:hint="eastAsia" w:ascii="Times New Roman" w:hAnsi="Times New Roman" w:eastAsia="等线" w:cs="Times New Roman"/>
                <w:b/>
                <w:bCs w:val="0"/>
                <w:i/>
                <w:iCs/>
                <w:color w:val="000000"/>
                <w:kern w:val="2"/>
                <w:sz w:val="20"/>
                <w:szCs w:val="20"/>
                <w:vertAlign w:val="baseline"/>
                <w:lang w:val="en-US" w:eastAsia="zh-CN" w:bidi="ar-SA"/>
              </w:rPr>
              <w:t xml:space="preserve"> </w:t>
            </w:r>
            <w:r>
              <w:rPr>
                <w:rFonts w:hint="default" w:ascii="Times New Roman" w:hAnsi="Times New Roman" w:eastAsia="等线" w:cs="Times New Roman"/>
                <w:b/>
                <w:bCs w:val="0"/>
                <w:i/>
                <w:iCs/>
                <w:color w:val="000000"/>
                <w:kern w:val="2"/>
                <w:sz w:val="20"/>
                <w:szCs w:val="20"/>
                <w:vertAlign w:val="baseline"/>
                <w:lang w:val="en-US" w:eastAsia="zh-CN" w:bidi="ar-SA"/>
              </w:rPr>
              <w:t>Gain (%)</w:t>
            </w:r>
          </w:p>
        </w:tc>
        <w:tc>
          <w:tcPr>
            <w:tcW w:w="659" w:type="pct"/>
            <w:tcBorders>
              <w:top w:val="single" w:color="000000" w:sz="12" w:space="0"/>
              <w:left w:val="nil"/>
              <w:bottom w:val="single" w:color="000000" w:sz="4" w:space="0"/>
              <w:right w:val="nil"/>
            </w:tcBorders>
            <w:shd w:val="clear" w:color="auto" w:fill="FFFFFF"/>
          </w:tcPr>
          <w:p w14:paraId="11FF22A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val="0"/>
                <w:i/>
                <w:iCs/>
                <w:color w:val="000000"/>
                <w:kern w:val="2"/>
                <w:sz w:val="20"/>
                <w:szCs w:val="20"/>
                <w:vertAlign w:val="baseline"/>
                <w:lang w:val="en-US" w:eastAsia="zh-CN" w:bidi="ar-SA"/>
              </w:rPr>
            </w:pPr>
            <w:r>
              <w:rPr>
                <w:rFonts w:hint="default" w:ascii="Times New Roman" w:hAnsi="Times New Roman" w:eastAsia="等线" w:cs="Times New Roman"/>
                <w:b/>
                <w:bCs w:val="0"/>
                <w:i/>
                <w:iCs/>
                <w:color w:val="000000"/>
                <w:kern w:val="2"/>
                <w:sz w:val="20"/>
                <w:szCs w:val="20"/>
                <w:vertAlign w:val="baseline"/>
                <w:lang w:val="en-US" w:eastAsia="zh-CN" w:bidi="ar-SA"/>
              </w:rPr>
              <w:t>Unmet Demand Reduction (%)</w:t>
            </w:r>
            <w:r>
              <w:rPr>
                <w:rFonts w:hint="default" w:ascii="Times New Roman" w:hAnsi="Times New Roman" w:eastAsia="等线" w:cs="Times New Roman"/>
                <w:b/>
                <w:bCs w:val="0"/>
                <w:i/>
                <w:iCs/>
                <w:color w:val="000000"/>
                <w:kern w:val="2"/>
                <w:sz w:val="20"/>
                <w:szCs w:val="20"/>
                <w:vertAlign w:val="baseline"/>
                <w:lang w:val="en-US" w:eastAsia="zh-CN" w:bidi="ar-SA"/>
              </w:rPr>
              <w:tab/>
            </w:r>
          </w:p>
        </w:tc>
        <w:tc>
          <w:tcPr>
            <w:tcW w:w="1167" w:type="pct"/>
            <w:tcBorders>
              <w:top w:val="single" w:color="000000" w:sz="12" w:space="0"/>
              <w:left w:val="nil"/>
              <w:bottom w:val="single" w:color="000000" w:sz="4" w:space="0"/>
              <w:right w:val="nil"/>
            </w:tcBorders>
            <w:shd w:val="clear" w:color="auto" w:fill="FFFFFF"/>
          </w:tcPr>
          <w:p w14:paraId="48BDBB6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val="0"/>
                <w:i/>
                <w:iCs/>
                <w:color w:val="000000"/>
                <w:kern w:val="2"/>
                <w:sz w:val="20"/>
                <w:szCs w:val="20"/>
                <w:vertAlign w:val="baseline"/>
                <w:lang w:val="en-US" w:eastAsia="zh-CN" w:bidi="ar-SA"/>
              </w:rPr>
            </w:pPr>
            <w:r>
              <w:rPr>
                <w:rFonts w:hint="default" w:ascii="Times New Roman" w:hAnsi="Times New Roman" w:eastAsia="等线" w:cs="Times New Roman"/>
                <w:b/>
                <w:bCs w:val="0"/>
                <w:i/>
                <w:iCs/>
                <w:color w:val="000000"/>
                <w:kern w:val="2"/>
                <w:sz w:val="20"/>
                <w:szCs w:val="20"/>
                <w:vertAlign w:val="baseline"/>
                <w:lang w:val="en-US" w:eastAsia="zh-CN" w:bidi="ar-SA"/>
              </w:rPr>
              <w:t>Operational Boundary &amp; Performance Regime</w:t>
            </w:r>
          </w:p>
        </w:tc>
      </w:tr>
      <w:tr w14:paraId="73FCF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single" w:color="000000" w:sz="4" w:space="0"/>
              <w:left w:val="nil"/>
              <w:bottom w:val="nil"/>
              <w:right w:val="nil"/>
            </w:tcBorders>
            <w:shd w:val="clear" w:color="auto" w:fill="FFFFFF"/>
          </w:tcPr>
          <w:p w14:paraId="1E07498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r>
              <w:rPr>
                <w:rFonts w:hint="default" w:ascii="Times New Roman" w:hAnsi="Times New Roman" w:eastAsia="等线" w:cs="Times New Roman"/>
                <w:b/>
                <w:bCs/>
                <w:i/>
                <w:iCs/>
                <w:color w:val="000000"/>
                <w:kern w:val="2"/>
                <w:sz w:val="20"/>
                <w:szCs w:val="20"/>
                <w:vertAlign w:val="baseline"/>
                <w:lang w:val="en-US" w:eastAsia="zh-CN" w:bidi="ar-SA"/>
              </w:rPr>
              <w:t>Threshold Shift (ΔH)</w:t>
            </w:r>
          </w:p>
        </w:tc>
        <w:tc>
          <w:tcPr>
            <w:tcW w:w="619" w:type="pct"/>
            <w:tcBorders>
              <w:top w:val="single" w:color="000000" w:sz="4" w:space="0"/>
              <w:left w:val="nil"/>
              <w:bottom w:val="nil"/>
              <w:right w:val="nil"/>
            </w:tcBorders>
            <w:shd w:val="clear" w:color="auto" w:fill="FFFFFF"/>
          </w:tcPr>
          <w:p w14:paraId="019ABFA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−1.0 m</w:t>
            </w:r>
          </w:p>
        </w:tc>
        <w:tc>
          <w:tcPr>
            <w:tcW w:w="682" w:type="pct"/>
            <w:tcBorders>
              <w:top w:val="single" w:color="000000" w:sz="4" w:space="0"/>
              <w:left w:val="nil"/>
              <w:bottom w:val="nil"/>
              <w:right w:val="nil"/>
            </w:tcBorders>
            <w:shd w:val="clear" w:color="auto" w:fill="FFFFFF"/>
          </w:tcPr>
          <w:p w14:paraId="2FCAEDA1">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0.22/0.81</w:t>
            </w:r>
          </w:p>
        </w:tc>
        <w:tc>
          <w:tcPr>
            <w:tcW w:w="604" w:type="pct"/>
            <w:tcBorders>
              <w:top w:val="single" w:color="000000" w:sz="4" w:space="0"/>
              <w:left w:val="nil"/>
              <w:bottom w:val="nil"/>
              <w:right w:val="nil"/>
            </w:tcBorders>
            <w:shd w:val="clear" w:color="auto" w:fill="FFFFFF"/>
          </w:tcPr>
          <w:p w14:paraId="1C02C56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0.23/0.27</w:t>
            </w:r>
          </w:p>
        </w:tc>
        <w:tc>
          <w:tcPr>
            <w:tcW w:w="621" w:type="pct"/>
            <w:tcBorders>
              <w:top w:val="single" w:color="000000" w:sz="4" w:space="0"/>
              <w:left w:val="nil"/>
              <w:bottom w:val="nil"/>
              <w:right w:val="nil"/>
            </w:tcBorders>
            <w:shd w:val="clear" w:color="auto" w:fill="FFFFFF"/>
          </w:tcPr>
          <w:p w14:paraId="55EA279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+27.1%</w:t>
            </w:r>
          </w:p>
        </w:tc>
        <w:tc>
          <w:tcPr>
            <w:tcW w:w="659" w:type="pct"/>
            <w:tcBorders>
              <w:top w:val="single" w:color="000000" w:sz="4" w:space="0"/>
              <w:left w:val="nil"/>
              <w:bottom w:val="nil"/>
              <w:right w:val="nil"/>
            </w:tcBorders>
            <w:shd w:val="clear" w:color="auto" w:fill="FFFFFF"/>
          </w:tcPr>
          <w:p w14:paraId="3B08186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−5.8%</w:t>
            </w:r>
          </w:p>
        </w:tc>
        <w:tc>
          <w:tcPr>
            <w:tcW w:w="1167" w:type="pct"/>
            <w:tcBorders>
              <w:top w:val="single" w:color="000000" w:sz="4" w:space="0"/>
              <w:left w:val="nil"/>
              <w:bottom w:val="nil"/>
              <w:right w:val="nil"/>
            </w:tcBorders>
            <w:shd w:val="clear" w:color="auto" w:fill="FFFFFF"/>
          </w:tcPr>
          <w:p w14:paraId="2FC45BE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Robust Positive Gain: High tolerance to threshold calibration.</w:t>
            </w:r>
          </w:p>
        </w:tc>
      </w:tr>
      <w:tr w14:paraId="6425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nil"/>
              <w:right w:val="nil"/>
            </w:tcBorders>
            <w:shd w:val="clear" w:color="auto" w:fill="FFFFFF"/>
          </w:tcPr>
          <w:p w14:paraId="176F106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p>
        </w:tc>
        <w:tc>
          <w:tcPr>
            <w:tcW w:w="619" w:type="pct"/>
            <w:tcBorders>
              <w:top w:val="nil"/>
              <w:left w:val="nil"/>
              <w:bottom w:val="nil"/>
              <w:right w:val="nil"/>
            </w:tcBorders>
            <w:shd w:val="clear" w:color="auto" w:fill="FFFFFF"/>
          </w:tcPr>
          <w:p w14:paraId="504819FD">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0.0 m (Baseline)</w:t>
            </w:r>
          </w:p>
        </w:tc>
        <w:tc>
          <w:tcPr>
            <w:tcW w:w="682" w:type="pct"/>
            <w:tcBorders>
              <w:top w:val="nil"/>
              <w:left w:val="nil"/>
              <w:bottom w:val="nil"/>
              <w:right w:val="nil"/>
            </w:tcBorders>
            <w:shd w:val="clear" w:color="auto" w:fill="FFFFFF"/>
          </w:tcPr>
          <w:p w14:paraId="1827FCC4">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0.22/0.84</w:t>
            </w:r>
          </w:p>
        </w:tc>
        <w:tc>
          <w:tcPr>
            <w:tcW w:w="604" w:type="pct"/>
            <w:tcBorders>
              <w:top w:val="nil"/>
              <w:left w:val="nil"/>
              <w:bottom w:val="nil"/>
              <w:right w:val="nil"/>
            </w:tcBorders>
            <w:shd w:val="clear" w:color="auto" w:fill="FFFFFF"/>
          </w:tcPr>
          <w:p w14:paraId="28FFE78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0.23/0.29</w:t>
            </w:r>
          </w:p>
        </w:tc>
        <w:tc>
          <w:tcPr>
            <w:tcW w:w="621" w:type="pct"/>
            <w:tcBorders>
              <w:top w:val="nil"/>
              <w:left w:val="nil"/>
              <w:bottom w:val="nil"/>
              <w:right w:val="nil"/>
            </w:tcBorders>
            <w:shd w:val="clear" w:color="auto" w:fill="FFFFFF"/>
          </w:tcPr>
          <w:p w14:paraId="166A3B31">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+36.2%</w:t>
            </w:r>
          </w:p>
        </w:tc>
        <w:tc>
          <w:tcPr>
            <w:tcW w:w="659" w:type="pct"/>
            <w:tcBorders>
              <w:top w:val="nil"/>
              <w:left w:val="nil"/>
              <w:bottom w:val="nil"/>
              <w:right w:val="nil"/>
            </w:tcBorders>
            <w:shd w:val="clear" w:color="auto" w:fill="FFFFFF"/>
          </w:tcPr>
          <w:p w14:paraId="56E08BA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−8.8%</w:t>
            </w:r>
          </w:p>
        </w:tc>
        <w:tc>
          <w:tcPr>
            <w:tcW w:w="1167" w:type="pct"/>
            <w:tcBorders>
              <w:top w:val="nil"/>
              <w:left w:val="nil"/>
              <w:bottom w:val="nil"/>
              <w:right w:val="nil"/>
            </w:tcBorders>
            <w:shd w:val="clear" w:color="auto" w:fill="FFFFFF"/>
          </w:tcPr>
          <w:p w14:paraId="3DDC3AD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Optimal Baseline: Balanced pressure and service gains.</w:t>
            </w:r>
          </w:p>
        </w:tc>
      </w:tr>
      <w:tr w14:paraId="582F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nil"/>
              <w:right w:val="nil"/>
            </w:tcBorders>
            <w:shd w:val="clear" w:color="auto" w:fill="FFFFFF"/>
          </w:tcPr>
          <w:p w14:paraId="66912FE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p>
        </w:tc>
        <w:tc>
          <w:tcPr>
            <w:tcW w:w="619" w:type="pct"/>
            <w:tcBorders>
              <w:top w:val="nil"/>
              <w:left w:val="nil"/>
              <w:bottom w:val="nil"/>
              <w:right w:val="nil"/>
            </w:tcBorders>
            <w:shd w:val="clear" w:color="auto" w:fill="FFFFFF"/>
          </w:tcPr>
          <w:p w14:paraId="5B10CA2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+1.0 m</w:t>
            </w:r>
          </w:p>
        </w:tc>
        <w:tc>
          <w:tcPr>
            <w:tcW w:w="682" w:type="pct"/>
            <w:tcBorders>
              <w:top w:val="nil"/>
              <w:left w:val="nil"/>
              <w:bottom w:val="nil"/>
              <w:right w:val="nil"/>
            </w:tcBorders>
            <w:shd w:val="clear" w:color="auto" w:fill="FFFFFF"/>
          </w:tcPr>
          <w:p w14:paraId="1DD78EF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0.22/0.87</w:t>
            </w:r>
          </w:p>
        </w:tc>
        <w:tc>
          <w:tcPr>
            <w:tcW w:w="604" w:type="pct"/>
            <w:tcBorders>
              <w:top w:val="nil"/>
              <w:left w:val="nil"/>
              <w:bottom w:val="nil"/>
              <w:right w:val="nil"/>
            </w:tcBorders>
            <w:shd w:val="clear" w:color="auto" w:fill="FFFFFF"/>
          </w:tcPr>
          <w:p w14:paraId="137878E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0.23/0.30</w:t>
            </w:r>
          </w:p>
        </w:tc>
        <w:tc>
          <w:tcPr>
            <w:tcW w:w="621" w:type="pct"/>
            <w:tcBorders>
              <w:top w:val="nil"/>
              <w:left w:val="nil"/>
              <w:bottom w:val="nil"/>
              <w:right w:val="nil"/>
            </w:tcBorders>
            <w:shd w:val="clear" w:color="auto" w:fill="FFFFFF"/>
          </w:tcPr>
          <w:p w14:paraId="2E125B3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+45.3%</w:t>
            </w:r>
          </w:p>
        </w:tc>
        <w:tc>
          <w:tcPr>
            <w:tcW w:w="659" w:type="pct"/>
            <w:tcBorders>
              <w:top w:val="nil"/>
              <w:left w:val="nil"/>
              <w:bottom w:val="nil"/>
              <w:right w:val="nil"/>
            </w:tcBorders>
            <w:shd w:val="clear" w:color="auto" w:fill="FFFFFF"/>
          </w:tcPr>
          <w:p w14:paraId="5407717D">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−9.9%</w:t>
            </w:r>
          </w:p>
        </w:tc>
        <w:tc>
          <w:tcPr>
            <w:tcW w:w="1167" w:type="pct"/>
            <w:tcBorders>
              <w:top w:val="nil"/>
              <w:left w:val="nil"/>
              <w:bottom w:val="nil"/>
              <w:right w:val="nil"/>
            </w:tcBorders>
            <w:shd w:val="clear" w:color="auto" w:fill="FFFFFF"/>
          </w:tcPr>
          <w:p w14:paraId="1BE6553B">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Conservative Trigger: Earlier curtailment preserves more storage.</w:t>
            </w:r>
          </w:p>
        </w:tc>
      </w:tr>
      <w:tr w14:paraId="481D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nil"/>
              <w:right w:val="nil"/>
            </w:tcBorders>
            <w:shd w:val="clear" w:color="auto" w:fill="FFFFFF"/>
          </w:tcPr>
          <w:p w14:paraId="4898E8D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r>
              <w:rPr>
                <w:rFonts w:hint="default" w:ascii="Times New Roman" w:hAnsi="Times New Roman" w:eastAsia="等线" w:cs="Times New Roman"/>
                <w:b/>
                <w:bCs/>
                <w:i/>
                <w:iCs/>
                <w:color w:val="000000"/>
                <w:kern w:val="2"/>
                <w:sz w:val="20"/>
                <w:szCs w:val="20"/>
                <w:vertAlign w:val="baseline"/>
                <w:lang w:val="en-US" w:eastAsia="zh-CN" w:bidi="ar-SA"/>
              </w:rPr>
              <w:t>Tank Diameter (Dtank)</w:t>
            </w:r>
          </w:p>
        </w:tc>
        <w:tc>
          <w:tcPr>
            <w:tcW w:w="619" w:type="pct"/>
            <w:tcBorders>
              <w:top w:val="nil"/>
              <w:left w:val="nil"/>
              <w:bottom w:val="nil"/>
              <w:right w:val="nil"/>
            </w:tcBorders>
            <w:shd w:val="clear" w:color="auto" w:fill="FFFFFF"/>
          </w:tcPr>
          <w:p w14:paraId="2F81AA8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0.6×</w:t>
            </w:r>
          </w:p>
        </w:tc>
        <w:tc>
          <w:tcPr>
            <w:tcW w:w="682" w:type="pct"/>
            <w:tcBorders>
              <w:top w:val="nil"/>
              <w:left w:val="nil"/>
              <w:bottom w:val="nil"/>
              <w:right w:val="nil"/>
            </w:tcBorders>
            <w:shd w:val="clear" w:color="auto" w:fill="FFFFFF"/>
          </w:tcPr>
          <w:p w14:paraId="32BAFA4B">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0.09/0.77</w:t>
            </w:r>
          </w:p>
        </w:tc>
        <w:tc>
          <w:tcPr>
            <w:tcW w:w="604" w:type="pct"/>
            <w:tcBorders>
              <w:top w:val="nil"/>
              <w:left w:val="nil"/>
              <w:bottom w:val="nil"/>
              <w:right w:val="nil"/>
            </w:tcBorders>
            <w:shd w:val="clear" w:color="auto" w:fill="FFFFFF"/>
          </w:tcPr>
          <w:p w14:paraId="1C38FA6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0.09/0.22</w:t>
            </w:r>
          </w:p>
        </w:tc>
        <w:tc>
          <w:tcPr>
            <w:tcW w:w="621" w:type="pct"/>
            <w:tcBorders>
              <w:top w:val="nil"/>
              <w:left w:val="nil"/>
              <w:bottom w:val="nil"/>
              <w:right w:val="nil"/>
            </w:tcBorders>
            <w:shd w:val="clear" w:color="auto" w:fill="FFFFFF"/>
          </w:tcPr>
          <w:p w14:paraId="3FEDE1F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+208.2%</w:t>
            </w:r>
          </w:p>
        </w:tc>
        <w:tc>
          <w:tcPr>
            <w:tcW w:w="659" w:type="pct"/>
            <w:tcBorders>
              <w:top w:val="nil"/>
              <w:left w:val="nil"/>
              <w:bottom w:val="nil"/>
              <w:right w:val="nil"/>
            </w:tcBorders>
            <w:shd w:val="clear" w:color="auto" w:fill="FFFFFF"/>
          </w:tcPr>
          <w:p w14:paraId="2A8E5A3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−18.7%</w:t>
            </w:r>
          </w:p>
        </w:tc>
        <w:tc>
          <w:tcPr>
            <w:tcW w:w="1167" w:type="pct"/>
            <w:tcBorders>
              <w:top w:val="nil"/>
              <w:left w:val="nil"/>
              <w:bottom w:val="nil"/>
              <w:right w:val="nil"/>
            </w:tcBorders>
            <w:shd w:val="clear" w:color="auto" w:fill="FFFFFF"/>
          </w:tcPr>
          <w:p w14:paraId="02C3A09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Critical EWM Value: Essential for storage-constrained networks.</w:t>
            </w:r>
          </w:p>
        </w:tc>
      </w:tr>
      <w:tr w14:paraId="1A32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nil"/>
              <w:right w:val="nil"/>
            </w:tcBorders>
            <w:shd w:val="clear" w:color="auto" w:fill="FFFFFF"/>
          </w:tcPr>
          <w:p w14:paraId="434EB7F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p>
        </w:tc>
        <w:tc>
          <w:tcPr>
            <w:tcW w:w="619" w:type="pct"/>
            <w:tcBorders>
              <w:top w:val="nil"/>
              <w:left w:val="nil"/>
              <w:bottom w:val="nil"/>
              <w:right w:val="nil"/>
            </w:tcBorders>
            <w:shd w:val="clear" w:color="auto" w:fill="FFFFFF"/>
          </w:tcPr>
          <w:p w14:paraId="02C2DC3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1.0× (Baseline)</w:t>
            </w:r>
          </w:p>
        </w:tc>
        <w:tc>
          <w:tcPr>
            <w:tcW w:w="682" w:type="pct"/>
            <w:tcBorders>
              <w:top w:val="nil"/>
              <w:left w:val="nil"/>
              <w:bottom w:val="nil"/>
              <w:right w:val="nil"/>
            </w:tcBorders>
            <w:shd w:val="clear" w:color="auto" w:fill="FFFFFF"/>
          </w:tcPr>
          <w:p w14:paraId="3146A6D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0.22/0.84</w:t>
            </w:r>
          </w:p>
        </w:tc>
        <w:tc>
          <w:tcPr>
            <w:tcW w:w="604" w:type="pct"/>
            <w:tcBorders>
              <w:top w:val="nil"/>
              <w:left w:val="nil"/>
              <w:bottom w:val="nil"/>
              <w:right w:val="nil"/>
            </w:tcBorders>
            <w:shd w:val="clear" w:color="auto" w:fill="FFFFFF"/>
          </w:tcPr>
          <w:p w14:paraId="59E4CA6D">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0.23/0.29</w:t>
            </w:r>
          </w:p>
        </w:tc>
        <w:tc>
          <w:tcPr>
            <w:tcW w:w="621" w:type="pct"/>
            <w:tcBorders>
              <w:top w:val="nil"/>
              <w:left w:val="nil"/>
              <w:bottom w:val="nil"/>
              <w:right w:val="nil"/>
            </w:tcBorders>
            <w:shd w:val="clear" w:color="auto" w:fill="FFFFFF"/>
          </w:tcPr>
          <w:p w14:paraId="7049F00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+36.2%</w:t>
            </w:r>
          </w:p>
        </w:tc>
        <w:tc>
          <w:tcPr>
            <w:tcW w:w="659" w:type="pct"/>
            <w:tcBorders>
              <w:top w:val="nil"/>
              <w:left w:val="nil"/>
              <w:bottom w:val="nil"/>
              <w:right w:val="nil"/>
            </w:tcBorders>
            <w:shd w:val="clear" w:color="auto" w:fill="FFFFFF"/>
          </w:tcPr>
          <w:p w14:paraId="43D0785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−8.8%</w:t>
            </w:r>
          </w:p>
        </w:tc>
        <w:tc>
          <w:tcPr>
            <w:tcW w:w="1167" w:type="pct"/>
            <w:tcBorders>
              <w:top w:val="nil"/>
              <w:left w:val="nil"/>
              <w:bottom w:val="nil"/>
              <w:right w:val="nil"/>
            </w:tcBorders>
            <w:shd w:val="clear" w:color="auto" w:fill="FFFFFF"/>
          </w:tcPr>
          <w:p w14:paraId="4A8DCE0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Moderate EWM Value: Substantial service continuity gain.</w:t>
            </w:r>
          </w:p>
        </w:tc>
      </w:tr>
      <w:tr w14:paraId="1160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nil"/>
              <w:right w:val="nil"/>
            </w:tcBorders>
            <w:shd w:val="clear" w:color="auto" w:fill="FFFFFF"/>
          </w:tcPr>
          <w:p w14:paraId="13EB260B">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p>
        </w:tc>
        <w:tc>
          <w:tcPr>
            <w:tcW w:w="619" w:type="pct"/>
            <w:tcBorders>
              <w:top w:val="nil"/>
              <w:left w:val="nil"/>
              <w:bottom w:val="nil"/>
              <w:right w:val="nil"/>
            </w:tcBorders>
            <w:shd w:val="clear" w:color="auto" w:fill="FFFFFF"/>
          </w:tcPr>
          <w:p w14:paraId="48A86AB9">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1.4×</w:t>
            </w:r>
          </w:p>
        </w:tc>
        <w:tc>
          <w:tcPr>
            <w:tcW w:w="682" w:type="pct"/>
            <w:tcBorders>
              <w:top w:val="nil"/>
              <w:left w:val="nil"/>
              <w:bottom w:val="nil"/>
              <w:right w:val="nil"/>
            </w:tcBorders>
            <w:shd w:val="clear" w:color="auto" w:fill="FFFFFF"/>
          </w:tcPr>
          <w:p w14:paraId="4227BDA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0.51/0.90</w:t>
            </w:r>
          </w:p>
        </w:tc>
        <w:tc>
          <w:tcPr>
            <w:tcW w:w="604" w:type="pct"/>
            <w:tcBorders>
              <w:top w:val="nil"/>
              <w:left w:val="nil"/>
              <w:bottom w:val="nil"/>
              <w:right w:val="nil"/>
            </w:tcBorders>
            <w:shd w:val="clear" w:color="auto" w:fill="FFFFFF"/>
          </w:tcPr>
          <w:p w14:paraId="5183EB4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0.51/0.53</w:t>
            </w:r>
          </w:p>
        </w:tc>
        <w:tc>
          <w:tcPr>
            <w:tcW w:w="621" w:type="pct"/>
            <w:tcBorders>
              <w:top w:val="nil"/>
              <w:left w:val="nil"/>
              <w:bottom w:val="nil"/>
              <w:right w:val="nil"/>
            </w:tcBorders>
            <w:shd w:val="clear" w:color="auto" w:fill="FFFFFF"/>
          </w:tcPr>
          <w:p w14:paraId="0A450CE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+0.09%</w:t>
            </w:r>
          </w:p>
        </w:tc>
        <w:tc>
          <w:tcPr>
            <w:tcW w:w="659" w:type="pct"/>
            <w:tcBorders>
              <w:top w:val="nil"/>
              <w:left w:val="nil"/>
              <w:bottom w:val="nil"/>
              <w:right w:val="nil"/>
            </w:tcBorders>
            <w:shd w:val="clear" w:color="auto" w:fill="FFFFFF"/>
          </w:tcPr>
          <w:p w14:paraId="0A3856D6">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−0.08%</w:t>
            </w:r>
          </w:p>
        </w:tc>
        <w:tc>
          <w:tcPr>
            <w:tcW w:w="1167" w:type="pct"/>
            <w:tcBorders>
              <w:top w:val="nil"/>
              <w:left w:val="nil"/>
              <w:bottom w:val="nil"/>
              <w:right w:val="nil"/>
            </w:tcBorders>
            <w:shd w:val="clear" w:color="auto" w:fill="FFFFFF"/>
          </w:tcPr>
          <w:p w14:paraId="00D8DE6D">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Low EWM Value: Passive physical storage dominates.</w:t>
            </w:r>
          </w:p>
        </w:tc>
      </w:tr>
      <w:tr w14:paraId="567A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nil"/>
              <w:right w:val="nil"/>
            </w:tcBorders>
            <w:shd w:val="clear" w:color="auto" w:fill="FFFFFF"/>
          </w:tcPr>
          <w:p w14:paraId="2518D69D">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r>
              <w:rPr>
                <w:rFonts w:hint="default" w:ascii="Times New Roman" w:hAnsi="Times New Roman" w:eastAsia="等线" w:cs="Times New Roman"/>
                <w:b/>
                <w:bCs/>
                <w:i/>
                <w:iCs/>
                <w:color w:val="000000"/>
                <w:kern w:val="2"/>
                <w:sz w:val="20"/>
                <w:szCs w:val="20"/>
                <w:vertAlign w:val="baseline"/>
                <w:lang w:val="en-US" w:eastAsia="zh-CN" w:bidi="ar-SA"/>
              </w:rPr>
              <w:t>Fault Duration (T fault)</w:t>
            </w:r>
          </w:p>
        </w:tc>
        <w:tc>
          <w:tcPr>
            <w:tcW w:w="619" w:type="pct"/>
            <w:tcBorders>
              <w:top w:val="nil"/>
              <w:left w:val="nil"/>
              <w:bottom w:val="nil"/>
              <w:right w:val="nil"/>
            </w:tcBorders>
            <w:shd w:val="clear" w:color="auto" w:fill="FFFFFF"/>
          </w:tcPr>
          <w:p w14:paraId="34F8889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12 h</w:t>
            </w:r>
          </w:p>
        </w:tc>
        <w:tc>
          <w:tcPr>
            <w:tcW w:w="682" w:type="pct"/>
            <w:tcBorders>
              <w:top w:val="nil"/>
              <w:left w:val="nil"/>
              <w:bottom w:val="nil"/>
              <w:right w:val="nil"/>
            </w:tcBorders>
            <w:shd w:val="clear" w:color="auto" w:fill="FFFFFF"/>
          </w:tcPr>
          <w:p w14:paraId="11A3DD1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0.43/0.89</w:t>
            </w:r>
          </w:p>
        </w:tc>
        <w:tc>
          <w:tcPr>
            <w:tcW w:w="604" w:type="pct"/>
            <w:tcBorders>
              <w:top w:val="nil"/>
              <w:left w:val="nil"/>
              <w:bottom w:val="nil"/>
              <w:right w:val="nil"/>
            </w:tcBorders>
            <w:shd w:val="clear" w:color="auto" w:fill="FFFFFF"/>
          </w:tcPr>
          <w:p w14:paraId="6BF008E0">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0.46/0.43</w:t>
            </w:r>
          </w:p>
        </w:tc>
        <w:tc>
          <w:tcPr>
            <w:tcW w:w="621" w:type="pct"/>
            <w:tcBorders>
              <w:top w:val="nil"/>
              <w:left w:val="nil"/>
              <w:bottom w:val="nil"/>
              <w:right w:val="nil"/>
            </w:tcBorders>
            <w:shd w:val="clear" w:color="auto" w:fill="FFFFFF"/>
          </w:tcPr>
          <w:p w14:paraId="66E6082C">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−4.7%</w:t>
            </w:r>
          </w:p>
        </w:tc>
        <w:tc>
          <w:tcPr>
            <w:tcW w:w="659" w:type="pct"/>
            <w:tcBorders>
              <w:top w:val="nil"/>
              <w:left w:val="nil"/>
              <w:bottom w:val="nil"/>
              <w:right w:val="nil"/>
            </w:tcBorders>
            <w:shd w:val="clear" w:color="auto" w:fill="FFFFFF"/>
          </w:tcPr>
          <w:p w14:paraId="50E978B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+1.4%</w:t>
            </w:r>
          </w:p>
        </w:tc>
        <w:tc>
          <w:tcPr>
            <w:tcW w:w="1167" w:type="pct"/>
            <w:tcBorders>
              <w:top w:val="nil"/>
              <w:left w:val="nil"/>
              <w:bottom w:val="nil"/>
              <w:right w:val="nil"/>
            </w:tcBorders>
            <w:shd w:val="clear" w:color="auto" w:fill="FFFFFF"/>
          </w:tcPr>
          <w:p w14:paraId="1B5F7FF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Over-Curtailment Boundary: Unnecessary for minor outages.</w:t>
            </w:r>
          </w:p>
        </w:tc>
      </w:tr>
      <w:tr w14:paraId="719E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nil"/>
              <w:right w:val="nil"/>
            </w:tcBorders>
            <w:shd w:val="clear" w:color="auto" w:fill="FFFFFF"/>
          </w:tcPr>
          <w:p w14:paraId="43AD7828">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bCs/>
                <w:i/>
                <w:iCs/>
                <w:color w:val="000000"/>
                <w:kern w:val="2"/>
                <w:sz w:val="20"/>
                <w:szCs w:val="20"/>
                <w:vertAlign w:val="baseline"/>
                <w:lang w:val="en-US" w:eastAsia="zh-CN" w:bidi="ar-SA"/>
              </w:rPr>
            </w:pPr>
          </w:p>
        </w:tc>
        <w:tc>
          <w:tcPr>
            <w:tcW w:w="619" w:type="pct"/>
            <w:tcBorders>
              <w:top w:val="nil"/>
              <w:left w:val="nil"/>
              <w:bottom w:val="nil"/>
              <w:right w:val="nil"/>
            </w:tcBorders>
            <w:shd w:val="clear" w:color="auto" w:fill="FFFFFF"/>
          </w:tcPr>
          <w:p w14:paraId="7D2976C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24 h (Baseline)</w:t>
            </w:r>
          </w:p>
        </w:tc>
        <w:tc>
          <w:tcPr>
            <w:tcW w:w="682" w:type="pct"/>
            <w:tcBorders>
              <w:top w:val="nil"/>
              <w:left w:val="nil"/>
              <w:bottom w:val="nil"/>
              <w:right w:val="nil"/>
            </w:tcBorders>
            <w:shd w:val="clear" w:color="auto" w:fill="FFFFFF"/>
          </w:tcPr>
          <w:p w14:paraId="1A291732">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0.22/0.84</w:t>
            </w:r>
          </w:p>
        </w:tc>
        <w:tc>
          <w:tcPr>
            <w:tcW w:w="604" w:type="pct"/>
            <w:tcBorders>
              <w:top w:val="nil"/>
              <w:left w:val="nil"/>
              <w:bottom w:val="nil"/>
              <w:right w:val="nil"/>
            </w:tcBorders>
            <w:shd w:val="clear" w:color="auto" w:fill="FFFFFF"/>
          </w:tcPr>
          <w:p w14:paraId="0BF7C72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0.23/0.29</w:t>
            </w:r>
          </w:p>
        </w:tc>
        <w:tc>
          <w:tcPr>
            <w:tcW w:w="621" w:type="pct"/>
            <w:tcBorders>
              <w:top w:val="nil"/>
              <w:left w:val="nil"/>
              <w:bottom w:val="nil"/>
              <w:right w:val="nil"/>
            </w:tcBorders>
            <w:shd w:val="clear" w:color="auto" w:fill="FFFFFF"/>
          </w:tcPr>
          <w:p w14:paraId="1EF20F9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+36.2%</w:t>
            </w:r>
          </w:p>
        </w:tc>
        <w:tc>
          <w:tcPr>
            <w:tcW w:w="659" w:type="pct"/>
            <w:tcBorders>
              <w:top w:val="nil"/>
              <w:left w:val="nil"/>
              <w:bottom w:val="nil"/>
              <w:right w:val="nil"/>
            </w:tcBorders>
            <w:shd w:val="clear" w:color="auto" w:fill="FFFFFF"/>
          </w:tcPr>
          <w:p w14:paraId="5B5726D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−8.8%</w:t>
            </w:r>
          </w:p>
        </w:tc>
        <w:tc>
          <w:tcPr>
            <w:tcW w:w="1167" w:type="pct"/>
            <w:tcBorders>
              <w:top w:val="nil"/>
              <w:left w:val="nil"/>
              <w:bottom w:val="nil"/>
              <w:right w:val="nil"/>
            </w:tcBorders>
            <w:shd w:val="clear" w:color="auto" w:fill="FFFFFF"/>
          </w:tcPr>
          <w:p w14:paraId="623B5983">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High EWM Value: Prevents complete zero-supply collapse.</w:t>
            </w:r>
          </w:p>
        </w:tc>
      </w:tr>
      <w:tr w14:paraId="5778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tcBorders>
              <w:top w:val="nil"/>
              <w:left w:val="nil"/>
              <w:bottom w:val="single" w:color="000000" w:sz="12" w:space="0"/>
              <w:right w:val="nil"/>
            </w:tcBorders>
            <w:shd w:val="clear" w:color="auto" w:fill="FFFFFF"/>
          </w:tcPr>
          <w:p w14:paraId="73713854">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p>
        </w:tc>
        <w:tc>
          <w:tcPr>
            <w:tcW w:w="619" w:type="pct"/>
            <w:tcBorders>
              <w:top w:val="nil"/>
              <w:left w:val="nil"/>
              <w:bottom w:val="single" w:color="000000" w:sz="12" w:space="0"/>
              <w:right w:val="nil"/>
            </w:tcBorders>
            <w:shd w:val="clear" w:color="auto" w:fill="FFFFFF"/>
          </w:tcPr>
          <w:p w14:paraId="10A1641F">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48 h</w:t>
            </w:r>
          </w:p>
        </w:tc>
        <w:tc>
          <w:tcPr>
            <w:tcW w:w="682" w:type="pct"/>
            <w:tcBorders>
              <w:top w:val="nil"/>
              <w:left w:val="nil"/>
              <w:bottom w:val="single" w:color="000000" w:sz="12" w:space="0"/>
              <w:right w:val="nil"/>
            </w:tcBorders>
            <w:shd w:val="clear" w:color="auto" w:fill="FFFFFF"/>
          </w:tcPr>
          <w:p w14:paraId="45C1407A">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0.11/0.79</w:t>
            </w:r>
          </w:p>
        </w:tc>
        <w:tc>
          <w:tcPr>
            <w:tcW w:w="604" w:type="pct"/>
            <w:tcBorders>
              <w:top w:val="nil"/>
              <w:left w:val="nil"/>
              <w:bottom w:val="single" w:color="000000" w:sz="12" w:space="0"/>
              <w:right w:val="nil"/>
            </w:tcBorders>
            <w:shd w:val="clear" w:color="auto" w:fill="FFFFFF"/>
          </w:tcPr>
          <w:p w14:paraId="0F4200A5">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0.11/0.22</w:t>
            </w:r>
          </w:p>
        </w:tc>
        <w:tc>
          <w:tcPr>
            <w:tcW w:w="621" w:type="pct"/>
            <w:tcBorders>
              <w:top w:val="nil"/>
              <w:left w:val="nil"/>
              <w:bottom w:val="single" w:color="000000" w:sz="12" w:space="0"/>
              <w:right w:val="nil"/>
            </w:tcBorders>
            <w:shd w:val="clear" w:color="auto" w:fill="FFFFFF"/>
          </w:tcPr>
          <w:p w14:paraId="4236066E">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+117.9%</w:t>
            </w:r>
          </w:p>
        </w:tc>
        <w:tc>
          <w:tcPr>
            <w:tcW w:w="659" w:type="pct"/>
            <w:tcBorders>
              <w:top w:val="nil"/>
              <w:left w:val="nil"/>
              <w:bottom w:val="single" w:color="000000" w:sz="12" w:space="0"/>
              <w:right w:val="nil"/>
            </w:tcBorders>
            <w:shd w:val="clear" w:color="auto" w:fill="FFFFFF"/>
          </w:tcPr>
          <w:p w14:paraId="7E38A6BB">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−13.6%</w:t>
            </w:r>
          </w:p>
        </w:tc>
        <w:tc>
          <w:tcPr>
            <w:tcW w:w="1167" w:type="pct"/>
            <w:tcBorders>
              <w:top w:val="nil"/>
              <w:left w:val="nil"/>
              <w:bottom w:val="single" w:color="000000" w:sz="12" w:space="0"/>
              <w:right w:val="nil"/>
            </w:tcBorders>
            <w:shd w:val="clear" w:color="auto" w:fill="FFFFFF"/>
          </w:tcPr>
          <w:p w14:paraId="591EC3A7">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right="0" w:rightChars="0" w:firstLine="0" w:firstLineChars="0"/>
              <w:jc w:val="left"/>
              <w:textAlignment w:val="auto"/>
              <w:rPr>
                <w:rFonts w:hint="default" w:ascii="Times New Roman" w:hAnsi="Times New Roman" w:eastAsia="等线" w:cs="Times New Roman"/>
                <w:b w:val="0"/>
                <w:bCs w:val="0"/>
                <w:i/>
                <w:iCs/>
                <w:color w:val="000000"/>
                <w:kern w:val="2"/>
                <w:sz w:val="20"/>
                <w:szCs w:val="20"/>
                <w:vertAlign w:val="baseline"/>
                <w:lang w:val="en-US" w:eastAsia="zh-CN" w:bidi="ar-SA"/>
              </w:rPr>
            </w:pPr>
            <w:r>
              <w:rPr>
                <w:rFonts w:hint="default" w:ascii="Times New Roman" w:hAnsi="Times New Roman" w:eastAsia="等线" w:cs="Times New Roman"/>
                <w:b w:val="0"/>
                <w:bCs w:val="0"/>
                <w:i/>
                <w:iCs/>
                <w:color w:val="000000"/>
                <w:kern w:val="2"/>
                <w:sz w:val="20"/>
                <w:szCs w:val="20"/>
                <w:vertAlign w:val="baseline"/>
                <w:lang w:val="en-US" w:eastAsia="zh-CN" w:bidi="ar-SA"/>
              </w:rPr>
              <w:t>Vital EWM Value: Maintains lifeline water supply during prolonged events.</w:t>
            </w:r>
          </w:p>
        </w:tc>
      </w:tr>
    </w:tbl>
    <w:p w14:paraId="48A4E0D1">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等线" w:cs="Times New Roman"/>
          <w:b w:val="0"/>
          <w:bCs w:val="0"/>
          <w:i/>
          <w:iCs/>
          <w:kern w:val="2"/>
          <w:sz w:val="24"/>
          <w:szCs w:val="24"/>
          <w:lang w:val="en-US" w:eastAsia="zh-CN" w:bidi="ar-SA"/>
        </w:rPr>
      </w:pPr>
    </w:p>
    <w:p w14:paraId="144E92D9">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Georgia" w:hAnsi="Georgia" w:eastAsia="等线" w:cs="Times New Roman"/>
          <w:b/>
          <w:bCs/>
          <w:i/>
          <w:iCs/>
          <w:kern w:val="2"/>
          <w:sz w:val="24"/>
          <w:szCs w:val="24"/>
          <w:lang w:val="en-US" w:eastAsia="zh-CN" w:bidi="ar-SA"/>
        </w:rPr>
      </w:pPr>
      <w:r>
        <w:rPr>
          <w:rFonts w:hint="default" w:ascii="Georgia" w:hAnsi="Georgia" w:eastAsia="等线" w:cs="Times New Roman"/>
          <w:b/>
          <w:bCs/>
          <w:i/>
          <w:iCs/>
          <w:kern w:val="2"/>
          <w:sz w:val="24"/>
          <w:szCs w:val="24"/>
          <w:lang w:val="en-US" w:eastAsia="zh-CN" w:bidi="ar-SA"/>
        </w:rPr>
        <w:t>Comment 6</w:t>
      </w:r>
      <w:r>
        <w:rPr>
          <w:rFonts w:hint="eastAsia" w:ascii="Georgia" w:hAnsi="Georgia" w:eastAsia="等线" w:cs="Times New Roman"/>
          <w:b/>
          <w:bCs/>
          <w:i/>
          <w:iCs/>
          <w:kern w:val="2"/>
          <w:sz w:val="24"/>
          <w:szCs w:val="24"/>
          <w:lang w:val="en-US" w:eastAsia="zh-CN" w:bidi="ar-SA"/>
        </w:rPr>
        <w:t>: Clarification of Tank State Durations and Numerical Consistency</w:t>
      </w:r>
    </w:p>
    <w:p w14:paraId="0954E48B">
      <w:pPr>
        <w:widowControl w:val="0"/>
        <w:ind w:leftChars="0"/>
        <w:jc w:val="both"/>
        <w:rPr>
          <w:rFonts w:hint="default" w:ascii="Times New Roman" w:hAnsi="Times New Roman" w:cs="Times New Roman" w:eastAsiaTheme="minorEastAsia"/>
          <w:b/>
          <w:bCs/>
          <w:i/>
          <w:iCs/>
          <w:kern w:val="2"/>
          <w:sz w:val="24"/>
          <w:szCs w:val="24"/>
          <w:lang w:val="en-US" w:eastAsia="zh-CN" w:bidi="ar-SA"/>
        </w:rPr>
      </w:pPr>
      <w:r>
        <w:rPr>
          <w:rFonts w:hint="default" w:ascii="Times New Roman" w:hAnsi="Times New Roman" w:cs="Times New Roman" w:eastAsiaTheme="minorEastAsia"/>
          <w:b/>
          <w:bCs/>
          <w:i/>
          <w:iCs/>
          <w:kern w:val="2"/>
          <w:sz w:val="24"/>
          <w:szCs w:val="24"/>
          <w:lang w:val="en-US" w:eastAsia="zh-CN" w:bidi="ar-SA"/>
        </w:rPr>
        <w:t>Reviewer Comment:</w:t>
      </w:r>
    </w:p>
    <w:p w14:paraId="197CCA6D">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Some reported results require further clarification. For example, Table 2 reports very similar state-duration values for T1 and T2, although the two tanks are located in different parts of the network. The abstract also reports the failure-duration reduction using a single value, while the table appears to contain separate values for the two tanks. These details make the numerical evidence less clear.</w:t>
      </w:r>
    </w:p>
    <w:p w14:paraId="2A5E1BDD">
      <w:pPr>
        <w:widowControl w:val="0"/>
        <w:ind w:leftChars="0"/>
        <w:jc w:val="both"/>
        <w:rPr>
          <w:rFonts w:hint="default" w:ascii="Times New Roman" w:hAnsi="Times New Roman" w:cs="Times New Roman" w:eastAsiaTheme="minorEastAsia"/>
          <w:i w:val="0"/>
          <w:iCs w:val="0"/>
          <w:kern w:val="2"/>
          <w:sz w:val="24"/>
          <w:szCs w:val="24"/>
          <w:lang w:val="en-US" w:eastAsia="zh-CN" w:bidi="ar-SA"/>
        </w:rPr>
      </w:pPr>
    </w:p>
    <w:p w14:paraId="733A3007">
      <w:pPr>
        <w:widowControl w:val="0"/>
        <w:ind w:leftChars="0"/>
        <w:jc w:val="both"/>
        <w:rPr>
          <w:rFonts w:hint="default" w:ascii="Times New Roman" w:hAnsi="Times New Roman" w:eastAsia="等线" w:cs="Times New Roman"/>
          <w:b/>
          <w:bCs/>
          <w:i w:val="0"/>
          <w:iCs w:val="0"/>
          <w:kern w:val="2"/>
          <w:sz w:val="24"/>
          <w:szCs w:val="24"/>
          <w:lang w:val="en-US" w:eastAsia="zh-CN" w:bidi="ar-SA"/>
        </w:rPr>
      </w:pPr>
      <w:r>
        <w:rPr>
          <w:rFonts w:hint="default" w:ascii="Times New Roman" w:hAnsi="Times New Roman" w:eastAsia="等线" w:cs="Times New Roman"/>
          <w:b/>
          <w:bCs/>
          <w:i w:val="0"/>
          <w:iCs w:val="0"/>
          <w:kern w:val="2"/>
          <w:sz w:val="24"/>
          <w:szCs w:val="24"/>
          <w:lang w:val="en-US" w:eastAsia="zh-CN" w:bidi="ar-SA"/>
        </w:rPr>
        <w:t>Author Response:</w:t>
      </w:r>
    </w:p>
    <w:p w14:paraId="022B0B3B">
      <w:pPr>
        <w:widowControl w:val="0"/>
        <w:ind w:leftChars="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We appreciate Reviewer pointing out these nuances in numerical presentation. We clarify both points:</w:t>
      </w:r>
    </w:p>
    <w:p w14:paraId="2861039D">
      <w:pPr>
        <w:widowControl w:val="0"/>
        <w:ind w:leftChars="0"/>
        <w:jc w:val="both"/>
        <w:rPr>
          <w:rFonts w:hint="default" w:ascii="Times New Roman" w:hAnsi="Times New Roman" w:cs="Times New Roman" w:eastAsiaTheme="minorEastAsia"/>
          <w:kern w:val="2"/>
          <w:sz w:val="24"/>
          <w:szCs w:val="24"/>
          <w:lang w:val="en-US" w:eastAsia="zh-CN" w:bidi="ar-SA"/>
        </w:rPr>
      </w:pPr>
    </w:p>
    <w:p w14:paraId="2D9F29B5">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1. </w:t>
      </w:r>
      <w:r>
        <w:rPr>
          <w:rFonts w:hint="default" w:ascii="Times New Roman" w:hAnsi="Times New Roman" w:cs="Times New Roman" w:eastAsiaTheme="minorEastAsia"/>
          <w:b/>
          <w:bCs/>
          <w:kern w:val="2"/>
          <w:sz w:val="24"/>
          <w:szCs w:val="24"/>
          <w:lang w:val="en-US" w:eastAsia="zh-CN" w:bidi="ar-SA"/>
        </w:rPr>
        <w:t xml:space="preserve">Symmetric Hydraulics of Tanks T1 and T2: </w:t>
      </w:r>
      <w:r>
        <w:rPr>
          <w:rFonts w:hint="default" w:ascii="Times New Roman" w:hAnsi="Times New Roman" w:cs="Times New Roman" w:eastAsiaTheme="minorEastAsia"/>
          <w:kern w:val="2"/>
          <w:sz w:val="24"/>
          <w:szCs w:val="24"/>
          <w:lang w:val="en-US" w:eastAsia="zh-CN" w:bidi="ar-SA"/>
        </w:rPr>
        <w:t>In the Anytown benchmark network, Tanks T1 and T2 possess identical geometric dimensions (diameter 9.95 m, max level 10.67 m), initial water levels (3.051 m), and identical SCADA pump control setpoints. Under a total water source outage, the network operates symmetrically as a dual-gravity supply system, resulting in nearly identical depletion trajectories (Without EWM: 18.50 h for T1, 18.58 h for T2; With EWM: 12.17 h for both T1 and T2).</w:t>
      </w:r>
    </w:p>
    <w:p w14:paraId="2C27348E">
      <w:pPr>
        <w:widowControl w:val="0"/>
        <w:ind w:leftChars="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b/>
          <w:bCs/>
          <w:kern w:val="2"/>
          <w:sz w:val="24"/>
          <w:szCs w:val="24"/>
          <w:lang w:val="en-US" w:eastAsia="zh-CN" w:bidi="ar-SA"/>
        </w:rPr>
        <w:t xml:space="preserve">2. </w:t>
      </w:r>
      <w:r>
        <w:rPr>
          <w:rFonts w:hint="default" w:ascii="Times New Roman" w:hAnsi="Times New Roman" w:cs="Times New Roman" w:eastAsiaTheme="minorEastAsia"/>
          <w:b/>
          <w:bCs/>
          <w:kern w:val="2"/>
          <w:sz w:val="24"/>
          <w:szCs w:val="24"/>
          <w:lang w:val="en-US" w:eastAsia="zh-CN" w:bidi="ar-SA"/>
        </w:rPr>
        <w:t>Numerical Unification Across Text and Tables:</w:t>
      </w:r>
      <w:r>
        <w:rPr>
          <w:rFonts w:hint="default" w:ascii="Times New Roman" w:hAnsi="Times New Roman" w:cs="Times New Roman" w:eastAsiaTheme="minorEastAsia"/>
          <w:kern w:val="2"/>
          <w:sz w:val="24"/>
          <w:szCs w:val="24"/>
          <w:lang w:val="en-US" w:eastAsia="zh-CN" w:bidi="ar-SA"/>
        </w:rPr>
        <w:t xml:space="preserve"> In the revised manuscript, we have standardized all numerical reporting. Both the Abstract and main text now explicitly report the range or dual values (18.50–18.58 h vs. 12.17 h), ensuring perfect consistency with Table 5.</w:t>
      </w:r>
    </w:p>
    <w:p w14:paraId="7CDD65DF">
      <w:pPr>
        <w:widowControl w:val="0"/>
        <w:ind w:leftChars="0"/>
        <w:jc w:val="both"/>
        <w:rPr>
          <w:rFonts w:hint="default" w:ascii="Times New Roman" w:hAnsi="Times New Roman" w:cs="Times New Roman" w:eastAsiaTheme="minorEastAsia"/>
          <w:b/>
          <w:bCs/>
          <w:kern w:val="2"/>
          <w:sz w:val="24"/>
          <w:szCs w:val="24"/>
          <w:lang w:val="en-US" w:eastAsia="zh-CN" w:bidi="ar-SA"/>
        </w:rPr>
      </w:pPr>
    </w:p>
    <w:p w14:paraId="4DC5E0A4">
      <w:pPr>
        <w:widowControl w:val="0"/>
        <w:ind w:leftChars="0"/>
        <w:jc w:val="both"/>
        <w:rPr>
          <w:rFonts w:hint="default" w:ascii="Times New Roman" w:hAnsi="Times New Roman" w:cs="Times New Roman" w:eastAsiaTheme="minorEastAsia"/>
          <w:b/>
          <w:bCs/>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Changes in Manuscript:</w:t>
      </w:r>
    </w:p>
    <w:p w14:paraId="16CD773A">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In Section 3.</w:t>
      </w:r>
      <w:r>
        <w:rPr>
          <w:rFonts w:hint="eastAsia" w:ascii="Times New Roman" w:hAnsi="Times New Roman" w:cs="Times New Roman"/>
          <w:i/>
          <w:iCs/>
          <w:kern w:val="2"/>
          <w:sz w:val="24"/>
          <w:szCs w:val="24"/>
          <w:lang w:val="en-US" w:eastAsia="zh-CN" w:bidi="ar-SA"/>
        </w:rPr>
        <w:t>1</w:t>
      </w:r>
      <w:r>
        <w:rPr>
          <w:rFonts w:hint="default" w:ascii="Times New Roman" w:hAnsi="Times New Roman" w:cs="Times New Roman" w:eastAsiaTheme="minorEastAsia"/>
          <w:i/>
          <w:iCs/>
          <w:kern w:val="2"/>
          <w:sz w:val="24"/>
          <w:szCs w:val="24"/>
          <w:lang w:val="en-US" w:eastAsia="zh-CN" w:bidi="ar-SA"/>
        </w:rPr>
        <w:t xml:space="preserve">, Table </w:t>
      </w:r>
      <w:r>
        <w:rPr>
          <w:rFonts w:hint="eastAsia" w:ascii="Times New Roman" w:hAnsi="Times New Roman" w:cs="Times New Roman"/>
          <w:i/>
          <w:iCs/>
          <w:kern w:val="2"/>
          <w:sz w:val="24"/>
          <w:szCs w:val="24"/>
          <w:lang w:val="en-US" w:eastAsia="zh-CN" w:bidi="ar-SA"/>
        </w:rPr>
        <w:t>4</w:t>
      </w:r>
      <w:r>
        <w:rPr>
          <w:rFonts w:hint="default" w:ascii="Times New Roman" w:hAnsi="Times New Roman" w:cs="Times New Roman" w:eastAsiaTheme="minorEastAsia"/>
          <w:i/>
          <w:iCs/>
          <w:kern w:val="2"/>
          <w:sz w:val="24"/>
          <w:szCs w:val="24"/>
          <w:lang w:val="en-US" w:eastAsia="zh-CN" w:bidi="ar-SA"/>
        </w:rPr>
        <w:t xml:space="preserve"> and the accompanying text have been updated:</w:t>
      </w:r>
    </w:p>
    <w:p w14:paraId="6345B681">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61FBDD2A">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 xml:space="preserve">Table </w:t>
      </w:r>
      <w:r>
        <w:rPr>
          <w:rFonts w:hint="eastAsia" w:ascii="Times New Roman" w:hAnsi="Times New Roman" w:cs="Times New Roman"/>
          <w:i/>
          <w:iCs/>
          <w:kern w:val="2"/>
          <w:sz w:val="24"/>
          <w:szCs w:val="24"/>
          <w:lang w:val="en-US" w:eastAsia="zh-CN" w:bidi="ar-SA"/>
        </w:rPr>
        <w:t>4</w:t>
      </w:r>
      <w:r>
        <w:rPr>
          <w:rFonts w:hint="default" w:ascii="Times New Roman" w:hAnsi="Times New Roman" w:cs="Times New Roman" w:eastAsiaTheme="minorEastAsia"/>
          <w:i/>
          <w:iCs/>
          <w:kern w:val="2"/>
          <w:sz w:val="24"/>
          <w:szCs w:val="24"/>
          <w:lang w:val="en-US" w:eastAsia="zh-CN" w:bidi="ar-SA"/>
        </w:rPr>
        <w:t>: Tank state durations and Outlet Failure timings for Tanks T1 and T2</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712"/>
        <w:gridCol w:w="1070"/>
        <w:gridCol w:w="1156"/>
        <w:gridCol w:w="863"/>
        <w:gridCol w:w="1060"/>
        <w:gridCol w:w="1255"/>
        <w:gridCol w:w="1320"/>
      </w:tblGrid>
      <w:tr w14:paraId="10B7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5BF72423">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Scenario</w:t>
            </w:r>
          </w:p>
        </w:tc>
        <w:tc>
          <w:tcPr>
            <w:tcW w:w="0" w:type="auto"/>
            <w:tcBorders>
              <w:top w:val="single" w:color="000000" w:sz="12" w:space="0"/>
              <w:left w:val="nil"/>
              <w:bottom w:val="single" w:color="000000" w:sz="4" w:space="0"/>
              <w:right w:val="nil"/>
            </w:tcBorders>
            <w:shd w:val="clear" w:color="auto" w:fill="FFFFFF"/>
          </w:tcPr>
          <w:p w14:paraId="7D796ED3">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Tank ID</w:t>
            </w:r>
          </w:p>
        </w:tc>
        <w:tc>
          <w:tcPr>
            <w:tcW w:w="0" w:type="auto"/>
            <w:tcBorders>
              <w:top w:val="single" w:color="000000" w:sz="12" w:space="0"/>
              <w:left w:val="nil"/>
              <w:bottom w:val="single" w:color="000000" w:sz="4" w:space="0"/>
              <w:right w:val="nil"/>
            </w:tcBorders>
            <w:shd w:val="clear" w:color="auto" w:fill="FFFFFF"/>
          </w:tcPr>
          <w:p w14:paraId="445574BE">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Normal (≥5.0 m)</w:t>
            </w:r>
          </w:p>
        </w:tc>
        <w:tc>
          <w:tcPr>
            <w:tcW w:w="0" w:type="auto"/>
            <w:tcBorders>
              <w:top w:val="single" w:color="000000" w:sz="12" w:space="0"/>
              <w:left w:val="nil"/>
              <w:bottom w:val="single" w:color="000000" w:sz="4" w:space="0"/>
              <w:right w:val="nil"/>
            </w:tcBorders>
            <w:shd w:val="clear" w:color="auto" w:fill="FFFFFF"/>
          </w:tcPr>
          <w:p w14:paraId="63BF48B1">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Warning (&lt;5.0 m)</w:t>
            </w:r>
          </w:p>
        </w:tc>
        <w:tc>
          <w:tcPr>
            <w:tcW w:w="0" w:type="auto"/>
            <w:tcBorders>
              <w:top w:val="single" w:color="000000" w:sz="12" w:space="0"/>
              <w:left w:val="nil"/>
              <w:bottom w:val="single" w:color="000000" w:sz="4" w:space="0"/>
              <w:right w:val="nil"/>
            </w:tcBorders>
            <w:shd w:val="clear" w:color="auto" w:fill="FFFFFF"/>
          </w:tcPr>
          <w:p w14:paraId="3F894AA4">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Alert (&lt;4.0 m)</w:t>
            </w:r>
          </w:p>
        </w:tc>
        <w:tc>
          <w:tcPr>
            <w:tcW w:w="0" w:type="auto"/>
            <w:tcBorders>
              <w:top w:val="single" w:color="000000" w:sz="12" w:space="0"/>
              <w:left w:val="nil"/>
              <w:bottom w:val="single" w:color="000000" w:sz="4" w:space="0"/>
              <w:right w:val="nil"/>
            </w:tcBorders>
            <w:shd w:val="clear" w:color="auto" w:fill="FFFFFF"/>
          </w:tcPr>
          <w:p w14:paraId="32626BF9">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Critical (&lt;2.0 m)</w:t>
            </w:r>
          </w:p>
        </w:tc>
        <w:tc>
          <w:tcPr>
            <w:tcW w:w="0" w:type="auto"/>
            <w:tcBorders>
              <w:top w:val="single" w:color="000000" w:sz="12" w:space="0"/>
              <w:left w:val="nil"/>
              <w:bottom w:val="single" w:color="000000" w:sz="4" w:space="0"/>
              <w:right w:val="nil"/>
            </w:tcBorders>
            <w:shd w:val="clear" w:color="auto" w:fill="FFFFFF"/>
          </w:tcPr>
          <w:p w14:paraId="0FA66326">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Outlet Failure (&lt;0.50 m)</w:t>
            </w:r>
          </w:p>
        </w:tc>
        <w:tc>
          <w:tcPr>
            <w:tcW w:w="0" w:type="auto"/>
            <w:tcBorders>
              <w:top w:val="single" w:color="000000" w:sz="12" w:space="0"/>
              <w:left w:val="nil"/>
              <w:bottom w:val="single" w:color="000000" w:sz="4" w:space="0"/>
              <w:right w:val="nil"/>
            </w:tcBorders>
            <w:shd w:val="clear" w:color="auto" w:fill="FFFFFF"/>
          </w:tcPr>
          <w:p w14:paraId="267A2C54">
            <w:pPr>
              <w:widowControl w:val="0"/>
              <w:jc w:val="both"/>
              <w:rPr>
                <w:rFonts w:hint="default" w:ascii="Times New Roman" w:hAnsi="Times New Roman" w:cs="Times New Roman" w:eastAsiaTheme="minorEastAsia"/>
                <w:b/>
                <w:bCs w:val="0"/>
                <w:i/>
                <w:iCs/>
                <w:color w:val="000000"/>
                <w:kern w:val="2"/>
                <w:sz w:val="20"/>
                <w:szCs w:val="20"/>
                <w:vertAlign w:val="baseline"/>
                <w:lang w:val="en-US" w:eastAsia="zh-CN" w:bidi="ar-SA"/>
              </w:rPr>
            </w:pPr>
            <w:r>
              <w:rPr>
                <w:rFonts w:hint="default" w:ascii="Times New Roman" w:hAnsi="Times New Roman" w:cs="Times New Roman" w:eastAsiaTheme="minorEastAsia"/>
                <w:b/>
                <w:bCs w:val="0"/>
                <w:i/>
                <w:iCs/>
                <w:color w:val="000000"/>
                <w:kern w:val="2"/>
                <w:sz w:val="20"/>
                <w:szCs w:val="20"/>
                <w:vertAlign w:val="baseline"/>
                <w:lang w:val="en-US" w:eastAsia="zh-CN" w:bidi="ar-SA"/>
              </w:rPr>
              <w:t>Total Outflow Duration</w:t>
            </w:r>
          </w:p>
        </w:tc>
      </w:tr>
      <w:tr w14:paraId="63F6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55651C1B">
            <w:pPr>
              <w:widowControl w:val="0"/>
              <w:jc w:val="both"/>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Without EWM</w:t>
            </w:r>
          </w:p>
        </w:tc>
        <w:tc>
          <w:tcPr>
            <w:tcW w:w="0" w:type="auto"/>
            <w:tcBorders>
              <w:top w:val="single" w:color="000000" w:sz="4" w:space="0"/>
              <w:left w:val="nil"/>
              <w:bottom w:val="nil"/>
              <w:right w:val="nil"/>
            </w:tcBorders>
            <w:shd w:val="clear" w:color="auto" w:fill="FFFFFF"/>
          </w:tcPr>
          <w:p w14:paraId="5A96669F">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T1</w:t>
            </w:r>
          </w:p>
        </w:tc>
        <w:tc>
          <w:tcPr>
            <w:tcW w:w="0" w:type="auto"/>
            <w:tcBorders>
              <w:top w:val="single" w:color="000000" w:sz="4" w:space="0"/>
              <w:left w:val="nil"/>
              <w:bottom w:val="nil"/>
              <w:right w:val="nil"/>
            </w:tcBorders>
            <w:shd w:val="clear" w:color="auto" w:fill="FFFFFF"/>
          </w:tcPr>
          <w:p w14:paraId="44195A3C">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0.00 h</w:t>
            </w:r>
          </w:p>
        </w:tc>
        <w:tc>
          <w:tcPr>
            <w:tcW w:w="0" w:type="auto"/>
            <w:tcBorders>
              <w:top w:val="single" w:color="000000" w:sz="4" w:space="0"/>
              <w:left w:val="nil"/>
              <w:bottom w:val="nil"/>
              <w:right w:val="nil"/>
            </w:tcBorders>
            <w:shd w:val="clear" w:color="auto" w:fill="FFFFFF"/>
          </w:tcPr>
          <w:p w14:paraId="2E9ECECE">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0.00 h</w:t>
            </w:r>
          </w:p>
        </w:tc>
        <w:tc>
          <w:tcPr>
            <w:tcW w:w="0" w:type="auto"/>
            <w:tcBorders>
              <w:top w:val="single" w:color="000000" w:sz="4" w:space="0"/>
              <w:left w:val="nil"/>
              <w:bottom w:val="nil"/>
              <w:right w:val="nil"/>
            </w:tcBorders>
            <w:shd w:val="clear" w:color="auto" w:fill="FFFFFF"/>
          </w:tcPr>
          <w:p w14:paraId="7551BC3C">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2.50 h</w:t>
            </w:r>
          </w:p>
        </w:tc>
        <w:tc>
          <w:tcPr>
            <w:tcW w:w="0" w:type="auto"/>
            <w:tcBorders>
              <w:top w:val="single" w:color="000000" w:sz="4" w:space="0"/>
              <w:left w:val="nil"/>
              <w:bottom w:val="nil"/>
              <w:right w:val="nil"/>
            </w:tcBorders>
            <w:shd w:val="clear" w:color="auto" w:fill="FFFFFF"/>
          </w:tcPr>
          <w:p w14:paraId="48C55B31">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3.00 h</w:t>
            </w:r>
          </w:p>
        </w:tc>
        <w:tc>
          <w:tcPr>
            <w:tcW w:w="0" w:type="auto"/>
            <w:tcBorders>
              <w:top w:val="single" w:color="000000" w:sz="4" w:space="0"/>
              <w:left w:val="nil"/>
              <w:bottom w:val="nil"/>
              <w:right w:val="nil"/>
            </w:tcBorders>
            <w:shd w:val="clear" w:color="auto" w:fill="FFFFFF"/>
          </w:tcPr>
          <w:p w14:paraId="40B94FB6">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18.50 h</w:t>
            </w:r>
          </w:p>
        </w:tc>
        <w:tc>
          <w:tcPr>
            <w:tcW w:w="0" w:type="auto"/>
            <w:tcBorders>
              <w:top w:val="single" w:color="000000" w:sz="4" w:space="0"/>
              <w:left w:val="nil"/>
              <w:bottom w:val="nil"/>
              <w:right w:val="nil"/>
            </w:tcBorders>
            <w:shd w:val="clear" w:color="auto" w:fill="FFFFFF"/>
          </w:tcPr>
          <w:p w14:paraId="51C717AD">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5.50 h</w:t>
            </w:r>
          </w:p>
        </w:tc>
      </w:tr>
      <w:tr w14:paraId="6A94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83927C2">
            <w:pPr>
              <w:widowControl w:val="0"/>
              <w:jc w:val="both"/>
              <w:rPr>
                <w:rFonts w:hint="default" w:ascii="Times New Roman" w:hAnsi="Times New Roman" w:cs="Times New Roman" w:eastAsiaTheme="minorEastAsia"/>
                <w:b/>
                <w:bCs/>
                <w:i/>
                <w:iCs/>
                <w:color w:val="000000"/>
                <w:kern w:val="2"/>
                <w:sz w:val="20"/>
                <w:szCs w:val="20"/>
                <w:vertAlign w:val="baseline"/>
                <w:lang w:val="en-US" w:eastAsia="zh-CN" w:bidi="ar-SA"/>
              </w:rPr>
            </w:pPr>
          </w:p>
        </w:tc>
        <w:tc>
          <w:tcPr>
            <w:tcW w:w="0" w:type="auto"/>
            <w:tcBorders>
              <w:top w:val="nil"/>
              <w:left w:val="nil"/>
              <w:bottom w:val="nil"/>
              <w:right w:val="nil"/>
            </w:tcBorders>
            <w:shd w:val="clear" w:color="auto" w:fill="FFFFFF"/>
          </w:tcPr>
          <w:p w14:paraId="131AA0AF">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T2</w:t>
            </w:r>
          </w:p>
        </w:tc>
        <w:tc>
          <w:tcPr>
            <w:tcW w:w="0" w:type="auto"/>
            <w:tcBorders>
              <w:top w:val="nil"/>
              <w:left w:val="nil"/>
              <w:bottom w:val="nil"/>
              <w:right w:val="nil"/>
            </w:tcBorders>
            <w:shd w:val="clear" w:color="auto" w:fill="FFFFFF"/>
          </w:tcPr>
          <w:p w14:paraId="53A8D984">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0.00 h</w:t>
            </w:r>
          </w:p>
        </w:tc>
        <w:tc>
          <w:tcPr>
            <w:tcW w:w="0" w:type="auto"/>
            <w:tcBorders>
              <w:top w:val="nil"/>
              <w:left w:val="nil"/>
              <w:bottom w:val="nil"/>
              <w:right w:val="nil"/>
            </w:tcBorders>
            <w:shd w:val="clear" w:color="auto" w:fill="FFFFFF"/>
          </w:tcPr>
          <w:p w14:paraId="4553CC34">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0.00 h</w:t>
            </w:r>
          </w:p>
        </w:tc>
        <w:tc>
          <w:tcPr>
            <w:tcW w:w="0" w:type="auto"/>
            <w:tcBorders>
              <w:top w:val="nil"/>
              <w:left w:val="nil"/>
              <w:bottom w:val="nil"/>
              <w:right w:val="nil"/>
            </w:tcBorders>
            <w:shd w:val="clear" w:color="auto" w:fill="FFFFFF"/>
          </w:tcPr>
          <w:p w14:paraId="54A66B70">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2.42 h</w:t>
            </w:r>
          </w:p>
        </w:tc>
        <w:tc>
          <w:tcPr>
            <w:tcW w:w="0" w:type="auto"/>
            <w:tcBorders>
              <w:top w:val="nil"/>
              <w:left w:val="nil"/>
              <w:bottom w:val="nil"/>
              <w:right w:val="nil"/>
            </w:tcBorders>
            <w:shd w:val="clear" w:color="auto" w:fill="FFFFFF"/>
          </w:tcPr>
          <w:p w14:paraId="1DAA5421">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3.00 h</w:t>
            </w:r>
          </w:p>
        </w:tc>
        <w:tc>
          <w:tcPr>
            <w:tcW w:w="0" w:type="auto"/>
            <w:tcBorders>
              <w:top w:val="nil"/>
              <w:left w:val="nil"/>
              <w:bottom w:val="nil"/>
              <w:right w:val="nil"/>
            </w:tcBorders>
            <w:shd w:val="clear" w:color="auto" w:fill="FFFFFF"/>
          </w:tcPr>
          <w:p w14:paraId="7F3C6404">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18.58 h</w:t>
            </w:r>
          </w:p>
        </w:tc>
        <w:tc>
          <w:tcPr>
            <w:tcW w:w="0" w:type="auto"/>
            <w:tcBorders>
              <w:top w:val="nil"/>
              <w:left w:val="nil"/>
              <w:bottom w:val="nil"/>
              <w:right w:val="nil"/>
            </w:tcBorders>
            <w:shd w:val="clear" w:color="auto" w:fill="FFFFFF"/>
          </w:tcPr>
          <w:p w14:paraId="22B1A2E8">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5.42 h</w:t>
            </w:r>
          </w:p>
        </w:tc>
      </w:tr>
      <w:tr w14:paraId="4A83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5D387752">
            <w:pPr>
              <w:widowControl w:val="0"/>
              <w:jc w:val="both"/>
              <w:rPr>
                <w:rFonts w:hint="default" w:ascii="Times New Roman" w:hAnsi="Times New Roman" w:cs="Times New Roman" w:eastAsiaTheme="minorEastAsia"/>
                <w:b/>
                <w:bCs/>
                <w:i/>
                <w:iCs/>
                <w:color w:val="000000"/>
                <w:kern w:val="2"/>
                <w:sz w:val="20"/>
                <w:szCs w:val="20"/>
                <w:vertAlign w:val="baseline"/>
                <w:lang w:val="en-US" w:eastAsia="zh-CN" w:bidi="ar-SA"/>
              </w:rPr>
            </w:pPr>
            <w:r>
              <w:rPr>
                <w:rFonts w:hint="default" w:ascii="Times New Roman" w:hAnsi="Times New Roman" w:cs="Times New Roman" w:eastAsiaTheme="minorEastAsia"/>
                <w:b/>
                <w:bCs/>
                <w:i/>
                <w:iCs/>
                <w:color w:val="000000"/>
                <w:kern w:val="2"/>
                <w:sz w:val="20"/>
                <w:szCs w:val="20"/>
                <w:vertAlign w:val="baseline"/>
                <w:lang w:val="en-US" w:eastAsia="zh-CN" w:bidi="ar-SA"/>
              </w:rPr>
              <w:t>With EWM</w:t>
            </w:r>
          </w:p>
        </w:tc>
        <w:tc>
          <w:tcPr>
            <w:tcW w:w="0" w:type="auto"/>
            <w:tcBorders>
              <w:top w:val="nil"/>
              <w:left w:val="nil"/>
              <w:bottom w:val="nil"/>
              <w:right w:val="nil"/>
            </w:tcBorders>
            <w:shd w:val="clear" w:color="auto" w:fill="FFFFFF"/>
            <w:vAlign w:val="top"/>
          </w:tcPr>
          <w:p w14:paraId="2FC98C93">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T1</w:t>
            </w:r>
          </w:p>
        </w:tc>
        <w:tc>
          <w:tcPr>
            <w:tcW w:w="0" w:type="auto"/>
            <w:tcBorders>
              <w:top w:val="nil"/>
              <w:left w:val="nil"/>
              <w:bottom w:val="nil"/>
              <w:right w:val="nil"/>
            </w:tcBorders>
            <w:shd w:val="clear" w:color="auto" w:fill="FFFFFF"/>
          </w:tcPr>
          <w:p w14:paraId="76F78999">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0.00 h</w:t>
            </w:r>
          </w:p>
        </w:tc>
        <w:tc>
          <w:tcPr>
            <w:tcW w:w="0" w:type="auto"/>
            <w:tcBorders>
              <w:top w:val="nil"/>
              <w:left w:val="nil"/>
              <w:bottom w:val="nil"/>
              <w:right w:val="nil"/>
            </w:tcBorders>
            <w:shd w:val="clear" w:color="auto" w:fill="FFFFFF"/>
          </w:tcPr>
          <w:p w14:paraId="5628A1D4">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1.00 h</w:t>
            </w:r>
          </w:p>
        </w:tc>
        <w:tc>
          <w:tcPr>
            <w:tcW w:w="0" w:type="auto"/>
            <w:tcBorders>
              <w:top w:val="nil"/>
              <w:left w:val="nil"/>
              <w:bottom w:val="nil"/>
              <w:right w:val="nil"/>
            </w:tcBorders>
            <w:shd w:val="clear" w:color="auto" w:fill="FFFFFF"/>
          </w:tcPr>
          <w:p w14:paraId="02C68E48">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3.50 h</w:t>
            </w:r>
          </w:p>
        </w:tc>
        <w:tc>
          <w:tcPr>
            <w:tcW w:w="0" w:type="auto"/>
            <w:tcBorders>
              <w:top w:val="nil"/>
              <w:left w:val="nil"/>
              <w:bottom w:val="nil"/>
              <w:right w:val="nil"/>
            </w:tcBorders>
            <w:shd w:val="clear" w:color="auto" w:fill="FFFFFF"/>
          </w:tcPr>
          <w:p w14:paraId="599A7013">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7.33 h</w:t>
            </w:r>
          </w:p>
        </w:tc>
        <w:tc>
          <w:tcPr>
            <w:tcW w:w="0" w:type="auto"/>
            <w:tcBorders>
              <w:top w:val="nil"/>
              <w:left w:val="nil"/>
              <w:bottom w:val="nil"/>
              <w:right w:val="nil"/>
            </w:tcBorders>
            <w:shd w:val="clear" w:color="auto" w:fill="FFFFFF"/>
          </w:tcPr>
          <w:p w14:paraId="5C41CA36">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12.17 h</w:t>
            </w:r>
          </w:p>
        </w:tc>
        <w:tc>
          <w:tcPr>
            <w:tcW w:w="0" w:type="auto"/>
            <w:tcBorders>
              <w:top w:val="nil"/>
              <w:left w:val="nil"/>
              <w:bottom w:val="nil"/>
              <w:right w:val="nil"/>
            </w:tcBorders>
            <w:shd w:val="clear" w:color="auto" w:fill="FFFFFF"/>
          </w:tcPr>
          <w:p w14:paraId="303CA870">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11.83 h</w:t>
            </w:r>
          </w:p>
        </w:tc>
      </w:tr>
      <w:tr w14:paraId="326A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1972A97B">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p>
        </w:tc>
        <w:tc>
          <w:tcPr>
            <w:tcW w:w="0" w:type="auto"/>
            <w:tcBorders>
              <w:top w:val="nil"/>
              <w:left w:val="nil"/>
              <w:bottom w:val="single" w:color="000000" w:sz="12" w:space="0"/>
              <w:right w:val="nil"/>
            </w:tcBorders>
            <w:shd w:val="clear" w:color="auto" w:fill="FFFFFF"/>
            <w:vAlign w:val="top"/>
          </w:tcPr>
          <w:p w14:paraId="4770A2D5">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T2</w:t>
            </w:r>
          </w:p>
        </w:tc>
        <w:tc>
          <w:tcPr>
            <w:tcW w:w="0" w:type="auto"/>
            <w:tcBorders>
              <w:top w:val="nil"/>
              <w:left w:val="nil"/>
              <w:bottom w:val="single" w:color="000000" w:sz="12" w:space="0"/>
              <w:right w:val="nil"/>
            </w:tcBorders>
            <w:shd w:val="clear" w:color="auto" w:fill="FFFFFF"/>
          </w:tcPr>
          <w:p w14:paraId="20791ED4">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0.00 h</w:t>
            </w:r>
          </w:p>
        </w:tc>
        <w:tc>
          <w:tcPr>
            <w:tcW w:w="0" w:type="auto"/>
            <w:tcBorders>
              <w:top w:val="nil"/>
              <w:left w:val="nil"/>
              <w:bottom w:val="single" w:color="000000" w:sz="12" w:space="0"/>
              <w:right w:val="nil"/>
            </w:tcBorders>
            <w:shd w:val="clear" w:color="auto" w:fill="FFFFFF"/>
          </w:tcPr>
          <w:p w14:paraId="1B7A33D0">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1.00 h</w:t>
            </w:r>
          </w:p>
        </w:tc>
        <w:tc>
          <w:tcPr>
            <w:tcW w:w="0" w:type="auto"/>
            <w:tcBorders>
              <w:top w:val="nil"/>
              <w:left w:val="nil"/>
              <w:bottom w:val="single" w:color="000000" w:sz="12" w:space="0"/>
              <w:right w:val="nil"/>
            </w:tcBorders>
            <w:shd w:val="clear" w:color="auto" w:fill="FFFFFF"/>
          </w:tcPr>
          <w:p w14:paraId="67FF19BA">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3.50 h</w:t>
            </w:r>
          </w:p>
        </w:tc>
        <w:tc>
          <w:tcPr>
            <w:tcW w:w="0" w:type="auto"/>
            <w:tcBorders>
              <w:top w:val="nil"/>
              <w:left w:val="nil"/>
              <w:bottom w:val="single" w:color="000000" w:sz="12" w:space="0"/>
              <w:right w:val="nil"/>
            </w:tcBorders>
            <w:shd w:val="clear" w:color="auto" w:fill="FFFFFF"/>
          </w:tcPr>
          <w:p w14:paraId="0F0442D8">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7.33 h</w:t>
            </w:r>
          </w:p>
        </w:tc>
        <w:tc>
          <w:tcPr>
            <w:tcW w:w="0" w:type="auto"/>
            <w:tcBorders>
              <w:top w:val="nil"/>
              <w:left w:val="nil"/>
              <w:bottom w:val="single" w:color="000000" w:sz="12" w:space="0"/>
              <w:right w:val="nil"/>
            </w:tcBorders>
            <w:shd w:val="clear" w:color="auto" w:fill="FFFFFF"/>
          </w:tcPr>
          <w:p w14:paraId="40D55899">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12.17 h</w:t>
            </w:r>
          </w:p>
        </w:tc>
        <w:tc>
          <w:tcPr>
            <w:tcW w:w="0" w:type="auto"/>
            <w:tcBorders>
              <w:top w:val="nil"/>
              <w:left w:val="nil"/>
              <w:bottom w:val="single" w:color="000000" w:sz="12" w:space="0"/>
              <w:right w:val="nil"/>
            </w:tcBorders>
            <w:shd w:val="clear" w:color="auto" w:fill="FFFFFF"/>
          </w:tcPr>
          <w:p w14:paraId="3B58227C">
            <w:pPr>
              <w:widowControl w:val="0"/>
              <w:jc w:val="both"/>
              <w:rPr>
                <w:rFonts w:hint="default" w:ascii="Times New Roman" w:hAnsi="Times New Roman" w:cs="Times New Roman" w:eastAsiaTheme="minorEastAsia"/>
                <w:b w:val="0"/>
                <w:i/>
                <w:iCs/>
                <w:color w:val="000000"/>
                <w:kern w:val="2"/>
                <w:sz w:val="20"/>
                <w:szCs w:val="20"/>
                <w:vertAlign w:val="baseline"/>
                <w:lang w:val="en-US" w:eastAsia="zh-CN" w:bidi="ar-SA"/>
              </w:rPr>
            </w:pPr>
            <w:r>
              <w:rPr>
                <w:rFonts w:hint="default" w:ascii="Times New Roman" w:hAnsi="Times New Roman" w:cs="Times New Roman" w:eastAsiaTheme="minorEastAsia"/>
                <w:b w:val="0"/>
                <w:i/>
                <w:iCs/>
                <w:color w:val="000000"/>
                <w:kern w:val="2"/>
                <w:sz w:val="20"/>
                <w:szCs w:val="20"/>
                <w:vertAlign w:val="baseline"/>
                <w:lang w:val="en-US" w:eastAsia="zh-CN" w:bidi="ar-SA"/>
              </w:rPr>
              <w:t>11.83 h</w:t>
            </w:r>
          </w:p>
        </w:tc>
      </w:tr>
    </w:tbl>
    <w:p w14:paraId="7CD77870">
      <w:pPr>
        <w:widowControl w:val="0"/>
        <w:ind w:leftChars="0"/>
        <w:jc w:val="both"/>
        <w:rPr>
          <w:rFonts w:hint="default" w:ascii="Times New Roman" w:hAnsi="Times New Roman" w:cs="Times New Roman" w:eastAsiaTheme="minorEastAsia"/>
          <w:i/>
          <w:iCs/>
          <w:kern w:val="2"/>
          <w:sz w:val="24"/>
          <w:szCs w:val="24"/>
          <w:lang w:val="en-US" w:eastAsia="zh-CN" w:bidi="ar-SA"/>
        </w:rPr>
      </w:pPr>
    </w:p>
    <w:p w14:paraId="6832CE80">
      <w:pPr>
        <w:widowControl w:val="0"/>
        <w:ind w:leftChars="0"/>
        <w:jc w:val="both"/>
        <w:rPr>
          <w:rFonts w:hint="default" w:ascii="Times New Roman" w:hAnsi="Times New Roman" w:cs="Times New Roman" w:eastAsiaTheme="minorEastAsia"/>
          <w:i/>
          <w:iCs/>
          <w:kern w:val="2"/>
          <w:sz w:val="24"/>
          <w:szCs w:val="24"/>
          <w:lang w:val="en-US" w:eastAsia="zh-CN" w:bidi="ar-SA"/>
        </w:rPr>
      </w:pPr>
      <w:r>
        <w:rPr>
          <w:rFonts w:hint="default" w:ascii="Times New Roman" w:hAnsi="Times New Roman" w:cs="Times New Roman" w:eastAsiaTheme="minorEastAsia"/>
          <w:i/>
          <w:iCs/>
          <w:kern w:val="2"/>
          <w:sz w:val="24"/>
          <w:szCs w:val="24"/>
          <w:lang w:val="en-US" w:eastAsia="zh-CN" w:bidi="ar-SA"/>
        </w:rPr>
        <w:t>Under Without EWM, rapid uncurtailed drawdown forces T1 and T2 into Outlet Failure at t=29.50 h and t=29.42 h (durations 18.50 h and 18.58 h during the 24-h fault). Under With EWM, graded demand management extends the active discharge duration from ∼5.46 h to 11.83 h, reducing the Outlet Failure duration from 18.50–18.58 h down to 12.17 h for both tanks.</w:t>
      </w:r>
    </w:p>
    <w:p w14:paraId="317E31D9">
      <w:pPr>
        <w:widowControl w:val="0"/>
        <w:ind w:leftChars="0"/>
        <w:jc w:val="both"/>
        <w:rPr>
          <w:rFonts w:hint="default" w:ascii="Times New Roman" w:hAnsi="Times New Roman" w:cs="Times New Roman" w:eastAsiaTheme="minorEastAsia"/>
          <w:i/>
          <w:iCs/>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A2568"/>
    <w:rsid w:val="073D0CEA"/>
    <w:rsid w:val="0CB41A4E"/>
    <w:rsid w:val="0F9E60D1"/>
    <w:rsid w:val="114A55B1"/>
    <w:rsid w:val="12392983"/>
    <w:rsid w:val="1AD80FFE"/>
    <w:rsid w:val="1DC377AA"/>
    <w:rsid w:val="20FA1CCE"/>
    <w:rsid w:val="215C64E4"/>
    <w:rsid w:val="23D02A80"/>
    <w:rsid w:val="249935AC"/>
    <w:rsid w:val="281E43B9"/>
    <w:rsid w:val="304358D4"/>
    <w:rsid w:val="348576A9"/>
    <w:rsid w:val="348D53EC"/>
    <w:rsid w:val="37EA2644"/>
    <w:rsid w:val="38997BC6"/>
    <w:rsid w:val="394F2D71"/>
    <w:rsid w:val="3ECE269F"/>
    <w:rsid w:val="405C39B3"/>
    <w:rsid w:val="40F7192E"/>
    <w:rsid w:val="42542728"/>
    <w:rsid w:val="44274F5B"/>
    <w:rsid w:val="45327989"/>
    <w:rsid w:val="45FA54BD"/>
    <w:rsid w:val="4812704D"/>
    <w:rsid w:val="495042D1"/>
    <w:rsid w:val="49992A5F"/>
    <w:rsid w:val="4CCD0D31"/>
    <w:rsid w:val="4E9522BD"/>
    <w:rsid w:val="4F815DEB"/>
    <w:rsid w:val="55BC2FA6"/>
    <w:rsid w:val="56C77F62"/>
    <w:rsid w:val="57F65C35"/>
    <w:rsid w:val="58692CBA"/>
    <w:rsid w:val="592B6DD2"/>
    <w:rsid w:val="5A9312A6"/>
    <w:rsid w:val="5C464523"/>
    <w:rsid w:val="5C990449"/>
    <w:rsid w:val="5D0B2591"/>
    <w:rsid w:val="5DE148C3"/>
    <w:rsid w:val="6238763C"/>
    <w:rsid w:val="6430379B"/>
    <w:rsid w:val="66DC2431"/>
    <w:rsid w:val="6A664783"/>
    <w:rsid w:val="6AFD0B0C"/>
    <w:rsid w:val="6E08592B"/>
    <w:rsid w:val="708A56CE"/>
    <w:rsid w:val="71836742"/>
    <w:rsid w:val="72A2709C"/>
    <w:rsid w:val="759A405B"/>
    <w:rsid w:val="787A5EA0"/>
    <w:rsid w:val="7B7D2454"/>
    <w:rsid w:val="7C9E4A50"/>
    <w:rsid w:val="7CED7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12370</Words>
  <Characters>73772</Characters>
  <Lines>0</Lines>
  <Paragraphs>0</Paragraphs>
  <TotalTime>59</TotalTime>
  <ScaleCrop>false</ScaleCrop>
  <LinksUpToDate>false</LinksUpToDate>
  <CharactersWithSpaces>85097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2025-08-12T00:51:00Z</dcterms:created>
  <dc:creator>19088</dc:creator>
  <cp:lastModifiedBy>995599</cp:lastModifiedBy>
  <dcterms:modified xsi:type="dcterms:W3CDTF">2026-08-13T08:47:47Z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eyJoZGlkIjoiYjYwMjExMzlhNDU3ZDAyNDIyOGQxZjQ2MGY4ZmZkYWQiLCJ1c2VySWQiOiIyNDg1ODMzNjgifQ==</vt:lpwstr>
  </property>
  <property fmtid="{D5CDD505-2E9C-101B-9397-08002B2CF9AE}" pid="4" name="ICV">
    <vt:lpwstr>86B46CF0AD644D29ACFD7A8AE0DDF1F2_12</vt:lpwstr>
  </property>
</Properties>
</file>