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7FFCEA">
      <w:pPr>
        <w:keepNext w:val="0"/>
        <w:keepLines w:val="0"/>
        <w:pageBreakBefore w:val="0"/>
        <w:widowControl w:val="0"/>
        <w:kinsoku/>
        <w:wordWrap/>
        <w:overflowPunct/>
        <w:topLinePunct w:val="0"/>
        <w:autoSpaceDE/>
        <w:autoSpaceDN/>
        <w:bidi w:val="0"/>
        <w:adjustRightInd/>
        <w:snapToGrid/>
        <w:jc w:val="left"/>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Dear </w:t>
      </w:r>
      <w:r>
        <w:rPr>
          <w:rFonts w:hint="default" w:ascii="Times New Roman" w:hAnsi="Times New Roman" w:cs="Times New Roman"/>
          <w:sz w:val="24"/>
          <w:szCs w:val="24"/>
        </w:rPr>
        <w:t>Editor</w:t>
      </w:r>
      <w:r>
        <w:rPr>
          <w:rFonts w:hint="default" w:ascii="Times New Roman" w:hAnsi="Times New Roman" w:cs="Times New Roman"/>
          <w:sz w:val="24"/>
          <w:szCs w:val="24"/>
          <w:lang w:val="en-US" w:eastAsia="zh-CN"/>
        </w:rPr>
        <w:t>,</w:t>
      </w:r>
    </w:p>
    <w:p w14:paraId="431828A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We sincerely appreciate you and the two anonymous reviewers for devoting your valuable time to </w:t>
      </w:r>
      <w:r>
        <w:rPr>
          <w:rFonts w:hint="default" w:ascii="Times New Roman" w:hAnsi="Times New Roman" w:cs="Times New Roman"/>
          <w:sz w:val="24"/>
          <w:szCs w:val="24"/>
          <w:highlight w:val="none"/>
          <w:lang w:val="en-US" w:eastAsia="zh-CN"/>
        </w:rPr>
        <w:t>reviewing</w:t>
      </w:r>
      <w:r>
        <w:rPr>
          <w:rFonts w:hint="default" w:ascii="Times New Roman" w:hAnsi="Times New Roman" w:cs="Times New Roman"/>
          <w:sz w:val="24"/>
          <w:szCs w:val="24"/>
          <w:lang w:val="en-US" w:eastAsia="zh-CN"/>
        </w:rPr>
        <w:t xml:space="preserve"> our manuscript (Manuscript ID: FEM-2026-0130, Title: </w:t>
      </w:r>
      <w:r>
        <w:rPr>
          <w:rFonts w:hint="default" w:ascii="Times New Roman" w:hAnsi="Times New Roman" w:eastAsia="等线" w:cs="Times New Roman"/>
          <w:b/>
          <w:bCs/>
          <w:i/>
          <w:iCs/>
          <w:sz w:val="24"/>
          <w:szCs w:val="24"/>
          <w:lang w:val="en-US" w:eastAsia="zh-CN"/>
        </w:rPr>
        <w:t>Proactive Resilience of Urban Water Supply Cyber-Physical Systems under Extreme Water Network Malfunctions: An Early</w:t>
      </w:r>
      <w:r>
        <w:rPr>
          <w:rFonts w:hint="eastAsia" w:ascii="Times New Roman" w:hAnsi="Times New Roman" w:eastAsia="等线" w:cs="Times New Roman"/>
          <w:b/>
          <w:bCs/>
          <w:i/>
          <w:iCs/>
          <w:sz w:val="24"/>
          <w:szCs w:val="24"/>
          <w:lang w:val="en-US" w:eastAsia="zh-CN"/>
        </w:rPr>
        <w:t xml:space="preserve"> </w:t>
      </w:r>
      <w:r>
        <w:rPr>
          <w:rFonts w:hint="default" w:ascii="Times New Roman" w:hAnsi="Times New Roman" w:eastAsia="等线" w:cs="Times New Roman"/>
          <w:b/>
          <w:bCs/>
          <w:i/>
          <w:iCs/>
          <w:sz w:val="24"/>
          <w:szCs w:val="24"/>
          <w:lang w:val="en-US" w:eastAsia="zh-CN"/>
        </w:rPr>
        <w:t>Warning Perspective</w:t>
      </w:r>
      <w:r>
        <w:rPr>
          <w:rFonts w:hint="default" w:ascii="Times New Roman" w:hAnsi="Times New Roman" w:cs="Times New Roman"/>
          <w:sz w:val="24"/>
          <w:szCs w:val="24"/>
          <w:lang w:val="en-US" w:eastAsia="zh-CN"/>
        </w:rPr>
        <w:t>). We highly recognize the detailed, rigorous and constructive comments raised by the editorial office and reviewers, which greatly help us identify the defects in methodology, mechanism interpretation, data comparison, result explanation and paper standardization of our original manuscript, and significantly improve the scientificity, transparency and completeness of this work.</w:t>
      </w:r>
    </w:p>
    <w:p w14:paraId="4F6B4E4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In response to all the concerns and suggestions put forward by the editor and reviewers, we have carried out comprehensive and substantial revisions to the whole manuscript. We have also prepared a point-by-point detailed response document, which restates each comment in italics and presents our corresponding revisions, supplementary analysis</w:t>
      </w:r>
      <w:r>
        <w:rPr>
          <w:rFonts w:hint="eastAsia" w:ascii="Times New Roman" w:hAnsi="Times New Roman" w:cs="Times New Roman"/>
          <w:sz w:val="24"/>
          <w:szCs w:val="24"/>
          <w:lang w:val="en-US" w:eastAsia="zh-CN"/>
        </w:rPr>
        <w:t>,</w:t>
      </w:r>
      <w:r>
        <w:rPr>
          <w:rFonts w:hint="default" w:ascii="Times New Roman" w:hAnsi="Times New Roman" w:cs="Times New Roman"/>
          <w:sz w:val="24"/>
          <w:szCs w:val="24"/>
          <w:lang w:val="en-US" w:eastAsia="zh-CN"/>
        </w:rPr>
        <w:t xml:space="preserve"> supplementary experimental explanations</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one by one.</w:t>
      </w:r>
    </w:p>
    <w:p w14:paraId="3856B63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After a full revision, we believe that all the critical issues raised in the review comments have been fully addressed and supplemented. We hereby resubmit the revised manuscript and the response to reviewers, and sincerely hope that the revised version can meet the publication standards of </w:t>
      </w:r>
      <w:r>
        <w:rPr>
          <w:rFonts w:hint="default" w:ascii="Times New Roman" w:hAnsi="Times New Roman" w:eastAsia="等线" w:cs="Times New Roman"/>
          <w:b/>
          <w:bCs/>
          <w:i/>
          <w:iCs/>
          <w:sz w:val="24"/>
          <w:szCs w:val="24"/>
          <w:lang w:val="en-US" w:eastAsia="zh-CN"/>
        </w:rPr>
        <w:t>ENGINEERING Management.</w:t>
      </w:r>
    </w:p>
    <w:p w14:paraId="57A4DBD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Thank you again for your careful guidance and the reviewers’ insightful suggestions. We look forward to your further reply.</w:t>
      </w:r>
    </w:p>
    <w:p w14:paraId="7F83CD3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lang w:val="en-US" w:eastAsia="zh-CN"/>
        </w:rPr>
      </w:pPr>
    </w:p>
    <w:p w14:paraId="46333DA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lang w:val="en-US" w:eastAsia="zh-CN"/>
        </w:rPr>
      </w:pPr>
    </w:p>
    <w:p w14:paraId="4CD37510">
      <w:pPr>
        <w:spacing w:line="360" w:lineRule="exact"/>
        <w:rPr>
          <w:rFonts w:hint="default" w:ascii="Times New Roman" w:hAnsi="Times New Roman" w:eastAsia="等线" w:cs="Times New Roman"/>
          <w:sz w:val="24"/>
          <w:szCs w:val="24"/>
          <w:highlight w:val="none"/>
        </w:rPr>
      </w:pPr>
      <w:r>
        <w:rPr>
          <w:rFonts w:hint="default" w:ascii="Times New Roman" w:hAnsi="Times New Roman" w:eastAsia="等线" w:cs="Times New Roman"/>
          <w:sz w:val="24"/>
          <w:szCs w:val="24"/>
          <w:highlight w:val="none"/>
        </w:rPr>
        <w:t>Sincerely,</w:t>
      </w:r>
    </w:p>
    <w:p w14:paraId="673ECF2F">
      <w:pPr>
        <w:spacing w:line="360" w:lineRule="exact"/>
        <w:rPr>
          <w:rFonts w:hint="default" w:ascii="Times New Roman" w:hAnsi="Times New Roman" w:eastAsia="等线" w:cs="Times New Roman"/>
          <w:sz w:val="24"/>
          <w:szCs w:val="24"/>
          <w:highlight w:val="none"/>
        </w:rPr>
      </w:pPr>
      <w:r>
        <w:rPr>
          <w:rFonts w:hint="default" w:ascii="Times New Roman" w:hAnsi="Times New Roman" w:eastAsia="等线" w:cs="Times New Roman"/>
          <w:sz w:val="24"/>
          <w:szCs w:val="24"/>
          <w:highlight w:val="none"/>
          <w:lang w:val="en-US" w:eastAsia="zh-CN"/>
        </w:rPr>
        <w:t>Hong</w:t>
      </w:r>
      <w:r>
        <w:rPr>
          <w:rFonts w:hint="default" w:ascii="Times New Roman" w:hAnsi="Times New Roman" w:eastAsia="等线" w:cs="Times New Roman"/>
          <w:sz w:val="24"/>
          <w:szCs w:val="24"/>
          <w:highlight w:val="none"/>
        </w:rPr>
        <w:t xml:space="preserve"> </w:t>
      </w:r>
      <w:r>
        <w:rPr>
          <w:rFonts w:hint="default" w:ascii="Times New Roman" w:hAnsi="Times New Roman" w:eastAsia="等线" w:cs="Times New Roman"/>
          <w:sz w:val="24"/>
          <w:szCs w:val="24"/>
          <w:highlight w:val="none"/>
          <w:lang w:val="en-US" w:eastAsia="zh-CN"/>
        </w:rPr>
        <w:t>Ye</w:t>
      </w:r>
      <w:r>
        <w:rPr>
          <w:rFonts w:hint="default" w:ascii="Times New Roman" w:hAnsi="Times New Roman" w:eastAsia="等线" w:cs="Times New Roman"/>
          <w:sz w:val="24"/>
          <w:szCs w:val="24"/>
          <w:highlight w:val="none"/>
        </w:rPr>
        <w:t>,</w:t>
      </w:r>
    </w:p>
    <w:p w14:paraId="6F9F3F3F">
      <w:pPr>
        <w:spacing w:line="360" w:lineRule="exact"/>
        <w:jc w:val="left"/>
        <w:rPr>
          <w:rFonts w:hint="default" w:ascii="Times New Roman" w:hAnsi="Times New Roman" w:eastAsia="等线" w:cs="Times New Roman"/>
          <w:sz w:val="24"/>
          <w:szCs w:val="24"/>
          <w:highlight w:val="none"/>
        </w:rPr>
      </w:pPr>
      <w:r>
        <w:rPr>
          <w:rFonts w:hint="default" w:ascii="Times New Roman" w:hAnsi="Times New Roman" w:eastAsia="等线" w:cs="Times New Roman"/>
          <w:sz w:val="24"/>
          <w:szCs w:val="24"/>
          <w:highlight w:val="none"/>
        </w:rPr>
        <w:t>Institute of Urban Environment,</w:t>
      </w:r>
    </w:p>
    <w:p w14:paraId="4B4A59C9">
      <w:pPr>
        <w:spacing w:line="360" w:lineRule="exact"/>
        <w:jc w:val="left"/>
        <w:rPr>
          <w:rFonts w:hint="default" w:ascii="Times New Roman" w:hAnsi="Times New Roman" w:eastAsia="等线" w:cs="Times New Roman"/>
          <w:sz w:val="24"/>
          <w:szCs w:val="24"/>
          <w:highlight w:val="none"/>
        </w:rPr>
      </w:pPr>
      <w:r>
        <w:rPr>
          <w:rFonts w:hint="default" w:ascii="Times New Roman" w:hAnsi="Times New Roman" w:eastAsia="等线" w:cs="Times New Roman"/>
          <w:sz w:val="24"/>
          <w:szCs w:val="24"/>
          <w:highlight w:val="none"/>
        </w:rPr>
        <w:t>Chinese Academy of Sciences,</w:t>
      </w:r>
    </w:p>
    <w:p w14:paraId="7E633E45">
      <w:pPr>
        <w:spacing w:line="360" w:lineRule="exact"/>
        <w:jc w:val="left"/>
        <w:rPr>
          <w:rFonts w:hint="default" w:ascii="Times New Roman" w:hAnsi="Times New Roman" w:eastAsia="等线" w:cs="Times New Roman"/>
          <w:sz w:val="24"/>
          <w:szCs w:val="24"/>
          <w:highlight w:val="none"/>
        </w:rPr>
      </w:pPr>
      <w:r>
        <w:rPr>
          <w:rFonts w:hint="default" w:ascii="Times New Roman" w:hAnsi="Times New Roman" w:eastAsia="等线" w:cs="Times New Roman"/>
          <w:sz w:val="24"/>
          <w:szCs w:val="24"/>
          <w:highlight w:val="none"/>
        </w:rPr>
        <w:t>1799 Jimei Ave., Xiamen,</w:t>
      </w:r>
    </w:p>
    <w:p w14:paraId="4058DD7E">
      <w:pPr>
        <w:spacing w:line="360" w:lineRule="exact"/>
        <w:jc w:val="left"/>
        <w:rPr>
          <w:rFonts w:hint="default" w:ascii="Times New Roman" w:hAnsi="Times New Roman" w:eastAsia="等线" w:cs="Times New Roman"/>
          <w:sz w:val="24"/>
          <w:szCs w:val="24"/>
          <w:highlight w:val="none"/>
        </w:rPr>
      </w:pPr>
      <w:r>
        <w:rPr>
          <w:rFonts w:hint="default" w:ascii="Times New Roman" w:hAnsi="Times New Roman" w:eastAsia="等线" w:cs="Times New Roman"/>
          <w:sz w:val="24"/>
          <w:szCs w:val="24"/>
          <w:highlight w:val="none"/>
        </w:rPr>
        <w:t>Fujian Province 361021, China</w:t>
      </w:r>
    </w:p>
    <w:p w14:paraId="2C361180">
      <w:pPr>
        <w:spacing w:line="360" w:lineRule="exact"/>
        <w:jc w:val="left"/>
        <w:rPr>
          <w:rFonts w:hint="default" w:ascii="Times New Roman" w:hAnsi="Times New Roman" w:eastAsia="等线" w:cs="Times New Roman"/>
          <w:sz w:val="24"/>
          <w:szCs w:val="24"/>
          <w:highlight w:val="none"/>
        </w:rPr>
      </w:pPr>
      <w:r>
        <w:rPr>
          <w:rFonts w:hint="default" w:ascii="Times New Roman" w:hAnsi="Times New Roman" w:eastAsia="等线" w:cs="Times New Roman"/>
          <w:sz w:val="24"/>
          <w:szCs w:val="24"/>
          <w:highlight w:val="none"/>
        </w:rPr>
        <w:t>Tel: +86-592-6190653</w:t>
      </w:r>
    </w:p>
    <w:p w14:paraId="314A3677">
      <w:pPr>
        <w:spacing w:after="312" w:afterLines="100" w:line="360" w:lineRule="exact"/>
        <w:jc w:val="left"/>
        <w:rPr>
          <w:rFonts w:hint="default" w:ascii="Times New Roman" w:hAnsi="Times New Roman" w:cs="Times New Roman"/>
          <w:sz w:val="24"/>
          <w:szCs w:val="24"/>
          <w:highlight w:val="none"/>
        </w:rPr>
      </w:pPr>
      <w:r>
        <w:rPr>
          <w:rFonts w:hint="default" w:ascii="Times New Roman" w:hAnsi="Times New Roman" w:eastAsia="等线" w:cs="Times New Roman"/>
          <w:sz w:val="24"/>
          <w:szCs w:val="24"/>
          <w:highlight w:val="none"/>
        </w:rPr>
        <w:t xml:space="preserve">E-mail: </w:t>
      </w:r>
      <w:r>
        <w:rPr>
          <w:rFonts w:hint="default" w:ascii="Times New Roman" w:hAnsi="Times New Roman" w:cs="Times New Roman"/>
          <w:sz w:val="24"/>
          <w:szCs w:val="24"/>
          <w:highlight w:val="none"/>
        </w:rPr>
        <w:fldChar w:fldCharType="begin"/>
      </w:r>
      <w:r>
        <w:rPr>
          <w:rFonts w:hint="default" w:ascii="Times New Roman" w:hAnsi="Times New Roman" w:cs="Times New Roman"/>
          <w:sz w:val="24"/>
          <w:szCs w:val="24"/>
          <w:highlight w:val="none"/>
        </w:rPr>
        <w:instrText xml:space="preserve"> HYPERLINK "mailto:hye@iue.ac.cn" </w:instrText>
      </w:r>
      <w:r>
        <w:rPr>
          <w:rFonts w:hint="default" w:ascii="Times New Roman" w:hAnsi="Times New Roman" w:cs="Times New Roman"/>
          <w:sz w:val="24"/>
          <w:szCs w:val="24"/>
          <w:highlight w:val="none"/>
        </w:rPr>
        <w:fldChar w:fldCharType="separate"/>
      </w:r>
      <w:r>
        <w:rPr>
          <w:rStyle w:val="17"/>
          <w:rFonts w:hint="default" w:ascii="Times New Roman" w:hAnsi="Times New Roman" w:cs="Times New Roman"/>
          <w:sz w:val="24"/>
          <w:szCs w:val="24"/>
          <w:highlight w:val="none"/>
        </w:rPr>
        <w:t>hye@iue.ac.cn</w:t>
      </w:r>
      <w:r>
        <w:rPr>
          <w:rFonts w:hint="default" w:ascii="Times New Roman" w:hAnsi="Times New Roman" w:cs="Times New Roman"/>
          <w:sz w:val="24"/>
          <w:szCs w:val="24"/>
          <w:highlight w:val="none"/>
        </w:rPr>
        <w:fldChar w:fldCharType="end"/>
      </w:r>
    </w:p>
    <w:p w14:paraId="067B2AA3">
      <w:pPr>
        <w:spacing w:after="312" w:afterLines="100" w:line="360" w:lineRule="exact"/>
        <w:jc w:val="left"/>
        <w:rPr>
          <w:rFonts w:hint="default" w:ascii="Times New Roman" w:hAnsi="Times New Roman" w:cs="Times New Roman"/>
          <w:sz w:val="22"/>
          <w:highlight w:val="none"/>
        </w:rPr>
      </w:pPr>
    </w:p>
    <w:p w14:paraId="16AC1E25">
      <w:pPr>
        <w:spacing w:after="312" w:afterLines="100" w:line="360" w:lineRule="exact"/>
        <w:jc w:val="left"/>
        <w:rPr>
          <w:rFonts w:hint="default" w:ascii="Times New Roman" w:hAnsi="Times New Roman" w:cs="Times New Roman"/>
          <w:sz w:val="22"/>
          <w:highlight w:val="none"/>
        </w:rPr>
      </w:pPr>
    </w:p>
    <w:p w14:paraId="12C8B97B">
      <w:pPr>
        <w:spacing w:after="312" w:afterLines="100" w:line="360" w:lineRule="exact"/>
        <w:jc w:val="left"/>
        <w:rPr>
          <w:rFonts w:hint="default" w:ascii="Times New Roman" w:hAnsi="Times New Roman" w:cs="Times New Roman"/>
          <w:sz w:val="22"/>
          <w:highlight w:val="none"/>
        </w:rPr>
      </w:pPr>
    </w:p>
    <w:p w14:paraId="78DB66AC">
      <w:pPr>
        <w:spacing w:after="312" w:afterLines="100" w:line="360" w:lineRule="exact"/>
        <w:jc w:val="left"/>
        <w:rPr>
          <w:rFonts w:hint="default" w:ascii="Times New Roman" w:hAnsi="Times New Roman" w:cs="Times New Roman"/>
          <w:sz w:val="22"/>
          <w:highlight w:val="none"/>
        </w:rPr>
      </w:pPr>
    </w:p>
    <w:p w14:paraId="6E76BDAB">
      <w:pPr>
        <w:spacing w:after="312" w:afterLines="100" w:line="360" w:lineRule="exact"/>
        <w:jc w:val="left"/>
        <w:rPr>
          <w:rFonts w:hint="default" w:ascii="Times New Roman" w:hAnsi="Times New Roman" w:cs="Times New Roman"/>
          <w:sz w:val="22"/>
          <w:highlight w:val="none"/>
        </w:rPr>
      </w:pPr>
    </w:p>
    <w:p w14:paraId="54CB0704">
      <w:pPr>
        <w:spacing w:after="312" w:afterLines="100" w:line="360" w:lineRule="exact"/>
        <w:jc w:val="left"/>
        <w:rPr>
          <w:rFonts w:hint="default" w:ascii="Times New Roman" w:hAnsi="Times New Roman" w:cs="Times New Roman"/>
          <w:sz w:val="22"/>
          <w:highlight w:val="none"/>
        </w:rPr>
      </w:pPr>
    </w:p>
    <w:p w14:paraId="63BA6171">
      <w:pPr>
        <w:spacing w:after="312" w:afterLines="100" w:line="360" w:lineRule="exact"/>
        <w:jc w:val="left"/>
        <w:rPr>
          <w:rFonts w:hint="default" w:ascii="Times New Roman" w:hAnsi="Times New Roman" w:cs="Times New Roman"/>
          <w:sz w:val="22"/>
          <w:highlight w:val="none"/>
        </w:rPr>
      </w:pPr>
    </w:p>
    <w:p w14:paraId="2E9D0C0A">
      <w:pPr>
        <w:spacing w:after="312" w:afterLines="100" w:line="360" w:lineRule="exact"/>
        <w:jc w:val="left"/>
        <w:rPr>
          <w:rFonts w:hint="default" w:ascii="Times New Roman" w:hAnsi="Times New Roman" w:cs="Times New Roman"/>
          <w:sz w:val="22"/>
          <w:highlight w:val="none"/>
        </w:rPr>
      </w:pPr>
    </w:p>
    <w:p w14:paraId="202D5D0D">
      <w:pPr>
        <w:spacing w:after="312" w:afterLines="100" w:line="360" w:lineRule="exact"/>
        <w:jc w:val="left"/>
        <w:rPr>
          <w:rFonts w:hint="default" w:ascii="Times New Roman" w:hAnsi="Times New Roman" w:cs="Times New Roman"/>
          <w:sz w:val="22"/>
          <w:highlight w:val="none"/>
        </w:rPr>
      </w:pPr>
    </w:p>
    <w:p w14:paraId="18E8130C">
      <w:pPr>
        <w:spacing w:after="312" w:afterLines="100" w:line="360" w:lineRule="exact"/>
        <w:jc w:val="left"/>
        <w:rPr>
          <w:rFonts w:hint="default" w:ascii="Times New Roman" w:hAnsi="Times New Roman" w:cs="Times New Roman"/>
          <w:sz w:val="22"/>
          <w:highlight w:val="none"/>
        </w:rPr>
      </w:pPr>
    </w:p>
    <w:p w14:paraId="4F69EE23">
      <w:pPr>
        <w:spacing w:after="312" w:afterLines="100" w:line="360" w:lineRule="exact"/>
        <w:jc w:val="left"/>
        <w:rPr>
          <w:rFonts w:hint="default" w:ascii="Times New Roman" w:hAnsi="Times New Roman" w:cs="Times New Roman"/>
          <w:sz w:val="22"/>
          <w:highlight w:val="none"/>
        </w:rPr>
      </w:pPr>
    </w:p>
    <w:p w14:paraId="411044FD">
      <w:pPr>
        <w:spacing w:after="312" w:afterLines="100" w:line="360" w:lineRule="exact"/>
        <w:jc w:val="left"/>
        <w:rPr>
          <w:rFonts w:hint="default" w:ascii="Times New Roman" w:hAnsi="Times New Roman" w:cs="Times New Roman"/>
          <w:sz w:val="22"/>
          <w:highlight w:val="none"/>
        </w:rPr>
      </w:pPr>
    </w:p>
    <w:p w14:paraId="365DB150">
      <w:pPr>
        <w:spacing w:after="312" w:afterLines="100" w:line="360" w:lineRule="exact"/>
        <w:jc w:val="left"/>
        <w:rPr>
          <w:rFonts w:hint="default" w:ascii="Times New Roman" w:hAnsi="Times New Roman" w:cs="Times New Roman"/>
          <w:sz w:val="22"/>
          <w:highlight w:val="none"/>
        </w:rPr>
      </w:pPr>
    </w:p>
    <w:p w14:paraId="43382D3B">
      <w:pPr>
        <w:spacing w:after="312" w:afterLines="100" w:line="360" w:lineRule="exact"/>
        <w:jc w:val="left"/>
        <w:rPr>
          <w:rFonts w:hint="default" w:ascii="Times New Roman" w:hAnsi="Times New Roman" w:cs="Times New Roman"/>
          <w:sz w:val="22"/>
          <w:highlight w:val="none"/>
        </w:rPr>
      </w:pPr>
    </w:p>
    <w:p w14:paraId="2B531005">
      <w:pPr>
        <w:spacing w:after="312" w:afterLines="100" w:line="360" w:lineRule="exact"/>
        <w:jc w:val="left"/>
        <w:rPr>
          <w:rFonts w:hint="default" w:ascii="Times New Roman" w:hAnsi="Times New Roman" w:cs="Times New Roman"/>
          <w:sz w:val="22"/>
          <w:highlight w:val="none"/>
        </w:rPr>
      </w:pPr>
    </w:p>
    <w:p w14:paraId="3D3ABC7D">
      <w:pPr>
        <w:spacing w:after="312" w:afterLines="100" w:line="360" w:lineRule="exact"/>
        <w:jc w:val="left"/>
        <w:rPr>
          <w:rFonts w:hint="default" w:ascii="Times New Roman" w:hAnsi="Times New Roman" w:cs="Times New Roman"/>
          <w:sz w:val="22"/>
          <w:highlight w:val="none"/>
        </w:rPr>
      </w:pPr>
    </w:p>
    <w:p w14:paraId="6B08D6F1">
      <w:pPr>
        <w:spacing w:after="312" w:afterLines="100" w:line="360" w:lineRule="exact"/>
        <w:jc w:val="left"/>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Summary of Major Revisions</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1"/>
        <w:gridCol w:w="6397"/>
      </w:tblGrid>
      <w:tr w14:paraId="3CF8C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1" w:type="dxa"/>
            <w:tcBorders>
              <w:top w:val="single" w:color="000000" w:sz="12" w:space="0"/>
              <w:left w:val="nil"/>
              <w:bottom w:val="single" w:color="000000" w:sz="4" w:space="0"/>
              <w:right w:val="nil"/>
              <w:tl2br w:val="nil"/>
            </w:tcBorders>
            <w:shd w:val="clear" w:color="auto" w:fill="FFFFFF"/>
            <w:vAlign w:val="center"/>
          </w:tcPr>
          <w:p w14:paraId="25D1F1B8">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bCs/>
                <w:color w:val="000000"/>
                <w:sz w:val="20"/>
                <w:szCs w:val="20"/>
                <w:highlight w:val="none"/>
                <w:vertAlign w:val="baseline"/>
              </w:rPr>
            </w:pPr>
            <w:r>
              <w:rPr>
                <w:rFonts w:hint="default" w:ascii="Times New Roman" w:hAnsi="Times New Roman" w:cs="Times New Roman"/>
                <w:b w:val="0"/>
                <w:bCs/>
                <w:color w:val="000000"/>
                <w:sz w:val="20"/>
                <w:szCs w:val="20"/>
                <w:highlight w:val="none"/>
                <w:vertAlign w:val="baseline"/>
              </w:rPr>
              <w:t>Area</w:t>
            </w:r>
          </w:p>
        </w:tc>
        <w:tc>
          <w:tcPr>
            <w:tcW w:w="6397" w:type="dxa"/>
            <w:tcBorders>
              <w:top w:val="single" w:color="000000" w:sz="12" w:space="0"/>
              <w:left w:val="nil"/>
              <w:bottom w:val="single" w:color="000000" w:sz="4" w:space="0"/>
              <w:right w:val="nil"/>
            </w:tcBorders>
            <w:shd w:val="clear" w:color="auto" w:fill="FFFFFF"/>
            <w:vAlign w:val="center"/>
          </w:tcPr>
          <w:p w14:paraId="32370879">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bCs/>
                <w:color w:val="000000"/>
                <w:sz w:val="20"/>
                <w:szCs w:val="20"/>
                <w:highlight w:val="none"/>
                <w:vertAlign w:val="baseline"/>
              </w:rPr>
            </w:pPr>
            <w:r>
              <w:rPr>
                <w:rFonts w:hint="default" w:ascii="Times New Roman" w:hAnsi="Times New Roman" w:cs="Times New Roman"/>
                <w:b w:val="0"/>
                <w:bCs/>
                <w:color w:val="000000"/>
                <w:sz w:val="20"/>
                <w:szCs w:val="20"/>
                <w:highlight w:val="none"/>
                <w:vertAlign w:val="baseline"/>
              </w:rPr>
              <w:t>Key revisions</w:t>
            </w:r>
          </w:p>
        </w:tc>
      </w:tr>
      <w:tr w14:paraId="6CC50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1" w:type="dxa"/>
            <w:tcBorders>
              <w:top w:val="single" w:color="000000" w:sz="4" w:space="0"/>
              <w:left w:val="nil"/>
              <w:bottom w:val="nil"/>
              <w:right w:val="nil"/>
            </w:tcBorders>
            <w:shd w:val="clear" w:color="auto" w:fill="FFFFFF"/>
            <w:vAlign w:val="center"/>
          </w:tcPr>
          <w:p w14:paraId="5591BDD1">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Abstract &amp; keywords</w:t>
            </w:r>
          </w:p>
        </w:tc>
        <w:tc>
          <w:tcPr>
            <w:tcW w:w="6397" w:type="dxa"/>
            <w:tcBorders>
              <w:top w:val="single" w:color="000000" w:sz="4" w:space="0"/>
              <w:left w:val="nil"/>
              <w:bottom w:val="nil"/>
              <w:right w:val="nil"/>
            </w:tcBorders>
            <w:shd w:val="clear" w:color="auto" w:fill="FFFFFF"/>
            <w:vAlign w:val="center"/>
          </w:tcPr>
          <w:p w14:paraId="6DDEC5F9">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Rewritten into a concise four-element structure (research scenario, methodology, key findings, innovations); keywords updated.</w:t>
            </w:r>
          </w:p>
        </w:tc>
      </w:tr>
      <w:tr w14:paraId="32DD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1" w:type="dxa"/>
            <w:tcBorders>
              <w:top w:val="nil"/>
              <w:left w:val="nil"/>
              <w:bottom w:val="nil"/>
              <w:right w:val="nil"/>
            </w:tcBorders>
            <w:shd w:val="clear" w:color="auto" w:fill="FFFFFF"/>
            <w:vAlign w:val="center"/>
          </w:tcPr>
          <w:p w14:paraId="53F381B2">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Introduction</w:t>
            </w:r>
          </w:p>
        </w:tc>
        <w:tc>
          <w:tcPr>
            <w:tcW w:w="6397" w:type="dxa"/>
            <w:tcBorders>
              <w:top w:val="nil"/>
              <w:left w:val="nil"/>
              <w:bottom w:val="nil"/>
              <w:right w:val="nil"/>
            </w:tcBorders>
            <w:shd w:val="clear" w:color="auto" w:fill="FFFFFF"/>
            <w:vAlign w:val="center"/>
          </w:tcPr>
          <w:p w14:paraId="1B0AB42C">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Literature review reorganized into three research streams; marginal contribution stated explicitly; the three research objectives condensed at the end of the Introduction.</w:t>
            </w:r>
          </w:p>
        </w:tc>
      </w:tr>
      <w:tr w14:paraId="25D85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1" w:type="dxa"/>
            <w:tcBorders>
              <w:top w:val="nil"/>
              <w:left w:val="nil"/>
              <w:bottom w:val="nil"/>
              <w:right w:val="nil"/>
            </w:tcBorders>
            <w:shd w:val="clear" w:color="auto" w:fill="FFFFFF"/>
            <w:vAlign w:val="center"/>
          </w:tcPr>
          <w:p w14:paraId="583C941C">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Materials &amp; methods</w:t>
            </w:r>
          </w:p>
        </w:tc>
        <w:tc>
          <w:tcPr>
            <w:tcW w:w="6397" w:type="dxa"/>
            <w:tcBorders>
              <w:top w:val="nil"/>
              <w:left w:val="nil"/>
              <w:bottom w:val="nil"/>
              <w:right w:val="nil"/>
            </w:tcBorders>
            <w:shd w:val="clear" w:color="auto" w:fill="FFFFFF"/>
            <w:vAlign w:val="center"/>
          </w:tcPr>
          <w:p w14:paraId="4D1E5741">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EWM defined as an executable control law (Section 2.2.2); eleven idealized assumptions listed (A1–A11, Section 2.5); basis of the tiered thresholds documented (Section 2.2.3); sensitivity experimental design added (Section 2.2.4); fairness control added (Section 2.2.5).</w:t>
            </w:r>
          </w:p>
          <w:p w14:paraId="0F73B238">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The qualitative performance function P(t) replaced by a dual-metric framework (Service time and Service value) that explicitly accounts for delivered service and unmet demand (Section 2.4).</w:t>
            </w:r>
          </w:p>
        </w:tc>
      </w:tr>
      <w:tr w14:paraId="3CEE2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1" w:type="dxa"/>
            <w:tcBorders>
              <w:top w:val="nil"/>
              <w:left w:val="nil"/>
              <w:bottom w:val="nil"/>
              <w:right w:val="nil"/>
            </w:tcBorders>
            <w:shd w:val="clear" w:color="auto" w:fill="FFFFFF"/>
            <w:vAlign w:val="center"/>
          </w:tcPr>
          <w:p w14:paraId="3E8D6D3B">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Results</w:t>
            </w:r>
          </w:p>
        </w:tc>
        <w:tc>
          <w:tcPr>
            <w:tcW w:w="6397" w:type="dxa"/>
            <w:tcBorders>
              <w:top w:val="nil"/>
              <w:left w:val="nil"/>
              <w:bottom w:val="nil"/>
              <w:right w:val="nil"/>
            </w:tcBorders>
            <w:shd w:val="clear" w:color="auto" w:fill="FFFFFF"/>
            <w:vAlign w:val="center"/>
          </w:tcPr>
          <w:p w14:paraId="2EC4CA80">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 xml:space="preserve">Figures and tables standardized (labels, legends, units; </w:t>
            </w:r>
            <w:r>
              <w:rPr>
                <w:rFonts w:hint="default" w:ascii="Times New Roman" w:hAnsi="Times New Roman" w:cs="Times New Roman"/>
                <w:b w:val="0"/>
                <w:color w:val="000000"/>
                <w:sz w:val="20"/>
                <w:szCs w:val="20"/>
                <w:highlight w:val="none"/>
                <w:vertAlign w:val="baseline"/>
                <w:lang w:val="en-US" w:eastAsia="zh-CN"/>
              </w:rPr>
              <w:t>“</w:t>
            </w:r>
            <w:r>
              <w:rPr>
                <w:rFonts w:hint="default" w:ascii="Times New Roman" w:hAnsi="Times New Roman" w:cs="Times New Roman"/>
                <w:b w:val="0"/>
                <w:color w:val="000000"/>
                <w:sz w:val="20"/>
                <w:szCs w:val="20"/>
                <w:highlight w:val="none"/>
                <w:vertAlign w:val="baseline"/>
              </w:rPr>
              <w:t>Critical Threshold</w:t>
            </w:r>
            <w:r>
              <w:rPr>
                <w:rFonts w:hint="default" w:ascii="Times New Roman" w:hAnsi="Times New Roman" w:cs="Times New Roman"/>
                <w:b w:val="0"/>
                <w:color w:val="000000"/>
                <w:sz w:val="20"/>
                <w:szCs w:val="20"/>
                <w:highlight w:val="none"/>
                <w:vertAlign w:val="baseline"/>
                <w:lang w:val="en-US" w:eastAsia="zh-CN"/>
              </w:rPr>
              <w:t>”</w:t>
            </w:r>
            <w:r>
              <w:rPr>
                <w:rFonts w:hint="default" w:ascii="Times New Roman" w:hAnsi="Times New Roman" w:cs="Times New Roman"/>
                <w:b w:val="0"/>
                <w:color w:val="000000"/>
                <w:sz w:val="20"/>
                <w:szCs w:val="20"/>
                <w:highlight w:val="none"/>
                <w:vertAlign w:val="baseline"/>
              </w:rPr>
              <w:t xml:space="preserve"> corrected); per-tank reporting unified; volumetric audit added.</w:t>
            </w:r>
          </w:p>
        </w:tc>
      </w:tr>
      <w:tr w14:paraId="59E8B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1" w:type="dxa"/>
            <w:tcBorders>
              <w:top w:val="nil"/>
              <w:left w:val="nil"/>
              <w:bottom w:val="nil"/>
              <w:right w:val="nil"/>
            </w:tcBorders>
            <w:shd w:val="clear" w:color="auto" w:fill="FFFFFF"/>
            <w:vAlign w:val="center"/>
          </w:tcPr>
          <w:p w14:paraId="55420921">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Discussion</w:t>
            </w:r>
          </w:p>
        </w:tc>
        <w:tc>
          <w:tcPr>
            <w:tcW w:w="6397" w:type="dxa"/>
            <w:tcBorders>
              <w:top w:val="nil"/>
              <w:left w:val="nil"/>
              <w:bottom w:val="nil"/>
              <w:right w:val="nil"/>
            </w:tcBorders>
            <w:shd w:val="clear" w:color="auto" w:fill="FFFFFF"/>
            <w:vAlign w:val="center"/>
          </w:tcPr>
          <w:p w14:paraId="1A353D62">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Reorganized into four subsections; complete EWM mechanism decomposed within the three-layer CPS architecture (Section 4.2); limitations expanded and a concrete Digital Twin pathway specified (Section 4.4).</w:t>
            </w:r>
          </w:p>
        </w:tc>
      </w:tr>
      <w:tr w14:paraId="331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1" w:type="dxa"/>
            <w:tcBorders>
              <w:top w:val="nil"/>
              <w:left w:val="nil"/>
              <w:bottom w:val="nil"/>
              <w:right w:val="nil"/>
            </w:tcBorders>
            <w:shd w:val="clear" w:color="auto" w:fill="FFFFFF"/>
            <w:vAlign w:val="center"/>
          </w:tcPr>
          <w:p w14:paraId="1FD2E6A6">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Conclusions</w:t>
            </w:r>
          </w:p>
        </w:tc>
        <w:tc>
          <w:tcPr>
            <w:tcW w:w="6397" w:type="dxa"/>
            <w:tcBorders>
              <w:top w:val="nil"/>
              <w:left w:val="nil"/>
              <w:bottom w:val="nil"/>
              <w:right w:val="nil"/>
            </w:tcBorders>
            <w:shd w:val="clear" w:color="auto" w:fill="FFFFFF"/>
            <w:vAlign w:val="center"/>
          </w:tcPr>
          <w:p w14:paraId="55845136">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Restructured into theoretical findings, key simulation results, and engineering implications; four targeted operational suggestions added.</w:t>
            </w:r>
          </w:p>
        </w:tc>
      </w:tr>
      <w:tr w14:paraId="247A8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1" w:type="dxa"/>
            <w:tcBorders>
              <w:top w:val="nil"/>
              <w:left w:val="nil"/>
              <w:bottom w:val="single" w:color="000000" w:sz="12" w:space="0"/>
              <w:right w:val="nil"/>
            </w:tcBorders>
            <w:shd w:val="clear" w:color="auto" w:fill="FFFFFF"/>
            <w:vAlign w:val="center"/>
          </w:tcPr>
          <w:p w14:paraId="58825B87">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Language &amp; references</w:t>
            </w:r>
          </w:p>
        </w:tc>
        <w:tc>
          <w:tcPr>
            <w:tcW w:w="6397" w:type="dxa"/>
            <w:tcBorders>
              <w:top w:val="nil"/>
              <w:left w:val="nil"/>
              <w:bottom w:val="single" w:color="000000" w:sz="12" w:space="0"/>
              <w:right w:val="nil"/>
            </w:tcBorders>
            <w:shd w:val="clear" w:color="auto" w:fill="FFFFFF"/>
            <w:vAlign w:val="center"/>
          </w:tcPr>
          <w:p w14:paraId="5A06B0CD">
            <w:pPr>
              <w:keepNext w:val="0"/>
              <w:keepLines w:val="0"/>
              <w:pageBreakBefore w:val="0"/>
              <w:widowControl w:val="0"/>
              <w:kinsoku/>
              <w:wordWrap/>
              <w:overflowPunct/>
              <w:topLinePunct w:val="0"/>
              <w:autoSpaceDE/>
              <w:autoSpaceDN/>
              <w:bidi w:val="0"/>
              <w:adjustRightInd/>
              <w:snapToGrid/>
              <w:spacing w:before="157" w:beforeLines="50" w:after="157" w:afterLines="50" w:line="300" w:lineRule="auto"/>
              <w:jc w:val="left"/>
              <w:textAlignment w:val="auto"/>
              <w:rPr>
                <w:rFonts w:hint="default" w:ascii="Times New Roman" w:hAnsi="Times New Roman" w:cs="Times New Roman"/>
                <w:b w:val="0"/>
                <w:color w:val="000000"/>
                <w:sz w:val="20"/>
                <w:szCs w:val="20"/>
                <w:highlight w:val="none"/>
                <w:vertAlign w:val="baseline"/>
              </w:rPr>
            </w:pPr>
            <w:r>
              <w:rPr>
                <w:rFonts w:hint="default" w:ascii="Times New Roman" w:hAnsi="Times New Roman" w:cs="Times New Roman"/>
                <w:b w:val="0"/>
                <w:color w:val="000000"/>
                <w:sz w:val="20"/>
                <w:szCs w:val="20"/>
                <w:highlight w:val="none"/>
                <w:vertAlign w:val="baseline"/>
              </w:rPr>
              <w:t>Full-text proofread; terminology unified ("time difference window"); references deduplicated to 53 entries and reformatted to journal requirements.</w:t>
            </w:r>
          </w:p>
        </w:tc>
      </w:tr>
    </w:tbl>
    <w:p w14:paraId="6D4471B5">
      <w:pPr>
        <w:spacing w:after="312" w:afterLines="100" w:line="360" w:lineRule="exact"/>
        <w:jc w:val="left"/>
        <w:rPr>
          <w:rFonts w:hint="default" w:ascii="Times New Roman" w:hAnsi="Times New Roman" w:cs="Times New Roman"/>
          <w:sz w:val="22"/>
          <w:highlight w:val="none"/>
        </w:rPr>
      </w:pPr>
    </w:p>
    <w:p w14:paraId="15E5C5A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left"/>
        <w:textAlignment w:val="auto"/>
        <w:rPr>
          <w:rFonts w:hint="default" w:ascii="Times New Roman" w:hAnsi="Times New Roman" w:eastAsia="等线" w:cs="Times New Roman"/>
          <w:b/>
          <w:bCs/>
          <w:i/>
          <w:iCs/>
          <w:sz w:val="24"/>
          <w:szCs w:val="24"/>
          <w:lang w:val="en-US" w:eastAsia="zh-CN"/>
        </w:rPr>
      </w:pPr>
      <w:r>
        <w:rPr>
          <w:rFonts w:hint="default" w:ascii="Times New Roman" w:hAnsi="Times New Roman" w:eastAsia="等线" w:cs="Times New Roman"/>
          <w:b/>
          <w:bCs/>
          <w:i/>
          <w:iCs/>
          <w:sz w:val="24"/>
          <w:szCs w:val="24"/>
          <w:lang w:val="en-US" w:eastAsia="zh-CN"/>
        </w:rPr>
        <w:t>Detailed Response to Reviewers</w:t>
      </w:r>
    </w:p>
    <w:p w14:paraId="36F4084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left"/>
        <w:textAlignment w:val="auto"/>
        <w:rPr>
          <w:rFonts w:hint="default" w:ascii="Times New Roman" w:hAnsi="Times New Roman" w:eastAsia="等线" w:cs="Times New Roman"/>
          <w:b/>
          <w:bCs/>
          <w:i/>
          <w:iCs/>
          <w:sz w:val="24"/>
          <w:szCs w:val="24"/>
          <w:lang w:val="en-US" w:eastAsia="zh-CN"/>
        </w:rPr>
      </w:pPr>
      <w:r>
        <w:rPr>
          <w:rFonts w:hint="default" w:ascii="Times New Roman" w:hAnsi="Times New Roman" w:eastAsia="等线" w:cs="Times New Roman"/>
          <w:b/>
          <w:bCs/>
          <w:i/>
          <w:iCs/>
          <w:sz w:val="24"/>
          <w:szCs w:val="24"/>
          <w:lang w:val="en-US" w:eastAsia="zh-CN"/>
        </w:rPr>
        <w:t>Manuscript ID:</w:t>
      </w:r>
      <w:r>
        <w:rPr>
          <w:rFonts w:hint="default" w:ascii="Times New Roman" w:hAnsi="Times New Roman" w:eastAsia="等线" w:cs="Times New Roman"/>
          <w:b w:val="0"/>
          <w:bCs w:val="0"/>
          <w:i/>
          <w:iCs/>
          <w:sz w:val="24"/>
          <w:szCs w:val="24"/>
          <w:lang w:val="en-US" w:eastAsia="zh-CN"/>
        </w:rPr>
        <w:t xml:space="preserve"> FEM-2026-0130</w:t>
      </w:r>
    </w:p>
    <w:p w14:paraId="2C47BAD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left"/>
        <w:textAlignment w:val="auto"/>
        <w:rPr>
          <w:rFonts w:hint="default" w:ascii="Times New Roman" w:hAnsi="Times New Roman" w:eastAsia="等线" w:cs="Times New Roman"/>
          <w:b/>
          <w:bCs/>
          <w:i/>
          <w:iCs/>
          <w:sz w:val="24"/>
          <w:szCs w:val="24"/>
          <w:lang w:val="en-US" w:eastAsia="zh-CN"/>
        </w:rPr>
      </w:pPr>
      <w:r>
        <w:rPr>
          <w:rFonts w:hint="default" w:ascii="Times New Roman" w:hAnsi="Times New Roman" w:eastAsia="等线" w:cs="Times New Roman"/>
          <w:b/>
          <w:bCs/>
          <w:i/>
          <w:iCs/>
          <w:sz w:val="24"/>
          <w:szCs w:val="24"/>
          <w:lang w:val="en-US" w:eastAsia="zh-CN"/>
        </w:rPr>
        <w:t xml:space="preserve">Title: </w:t>
      </w:r>
      <w:r>
        <w:rPr>
          <w:rFonts w:hint="default" w:ascii="Times New Roman" w:hAnsi="Times New Roman" w:eastAsia="等线" w:cs="Times New Roman"/>
          <w:b w:val="0"/>
          <w:bCs w:val="0"/>
          <w:i/>
          <w:iCs/>
          <w:sz w:val="24"/>
          <w:szCs w:val="24"/>
          <w:lang w:val="en-US" w:eastAsia="zh-CN"/>
        </w:rPr>
        <w:t>Proactive Resilience of Urban Water Supply Cyber-Physical Systems under Extreme Water Network Malfunctions: An Early</w:t>
      </w:r>
      <w:r>
        <w:rPr>
          <w:rFonts w:hint="eastAsia" w:ascii="Times New Roman" w:hAnsi="Times New Roman" w:eastAsia="等线" w:cs="Times New Roman"/>
          <w:b w:val="0"/>
          <w:bCs w:val="0"/>
          <w:i/>
          <w:iCs/>
          <w:sz w:val="24"/>
          <w:szCs w:val="24"/>
          <w:lang w:val="en-US" w:eastAsia="zh-CN"/>
        </w:rPr>
        <w:t xml:space="preserve"> </w:t>
      </w:r>
      <w:r>
        <w:rPr>
          <w:rFonts w:hint="default" w:ascii="Times New Roman" w:hAnsi="Times New Roman" w:eastAsia="等线" w:cs="Times New Roman"/>
          <w:b w:val="0"/>
          <w:bCs w:val="0"/>
          <w:i/>
          <w:iCs/>
          <w:sz w:val="24"/>
          <w:szCs w:val="24"/>
          <w:lang w:val="en-US" w:eastAsia="zh-CN"/>
        </w:rPr>
        <w:t>Warning Perspective</w:t>
      </w:r>
    </w:p>
    <w:p w14:paraId="20F48AA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left"/>
        <w:textAlignment w:val="auto"/>
        <w:rPr>
          <w:rFonts w:hint="default" w:ascii="Times New Roman" w:hAnsi="Times New Roman" w:eastAsia="等线" w:cs="Times New Roman"/>
          <w:b w:val="0"/>
          <w:bCs w:val="0"/>
          <w:i/>
          <w:iCs/>
          <w:sz w:val="24"/>
          <w:szCs w:val="24"/>
          <w:lang w:val="en-US" w:eastAsia="zh-CN"/>
        </w:rPr>
      </w:pPr>
      <w:r>
        <w:rPr>
          <w:rFonts w:hint="default" w:ascii="Times New Roman" w:hAnsi="Times New Roman" w:eastAsia="等线" w:cs="Times New Roman"/>
          <w:b/>
          <w:bCs/>
          <w:i/>
          <w:iCs/>
          <w:sz w:val="24"/>
          <w:szCs w:val="24"/>
          <w:lang w:val="en-US" w:eastAsia="zh-CN"/>
        </w:rPr>
        <w:t>Journal:</w:t>
      </w:r>
      <w:r>
        <w:rPr>
          <w:rFonts w:hint="default" w:ascii="Times New Roman" w:hAnsi="Times New Roman" w:eastAsia="等线" w:cs="Times New Roman"/>
          <w:b w:val="0"/>
          <w:bCs w:val="0"/>
          <w:i/>
          <w:iCs/>
          <w:sz w:val="24"/>
          <w:szCs w:val="24"/>
          <w:lang w:val="en-US" w:eastAsia="zh-CN"/>
        </w:rPr>
        <w:t>ENGINEERING Management</w:t>
      </w:r>
    </w:p>
    <w:p w14:paraId="260D43CE">
      <w:pPr>
        <w:keepNext w:val="0"/>
        <w:keepLines w:val="0"/>
        <w:pageBreakBefore w:val="0"/>
        <w:widowControl w:val="0"/>
        <w:kinsoku/>
        <w:wordWrap/>
        <w:overflowPunct/>
        <w:topLinePunct w:val="0"/>
        <w:autoSpaceDE/>
        <w:autoSpaceDN/>
        <w:bidi w:val="0"/>
        <w:adjustRightInd/>
        <w:snapToGrid/>
        <w:spacing w:before="157" w:beforeLines="50" w:after="157" w:afterLines="50"/>
        <w:jc w:val="center"/>
        <w:textAlignment w:val="auto"/>
        <w:rPr>
          <w:rFonts w:hint="default" w:ascii="Times New Roman" w:hAnsi="Times New Roman" w:eastAsia="等线" w:cs="Times New Roman"/>
          <w:b/>
          <w:bCs/>
          <w:i/>
          <w:iCs/>
          <w:sz w:val="28"/>
          <w:szCs w:val="28"/>
          <w:lang w:val="en-US" w:eastAsia="zh-CN"/>
        </w:rPr>
      </w:pPr>
      <w:r>
        <w:rPr>
          <w:rFonts w:hint="default" w:ascii="Times New Roman" w:hAnsi="Times New Roman" w:eastAsia="等线" w:cs="Times New Roman"/>
          <w:b/>
          <w:bCs/>
          <w:i/>
          <w:iCs/>
          <w:sz w:val="28"/>
          <w:szCs w:val="28"/>
          <w:lang w:val="en-US" w:eastAsia="zh-CN"/>
        </w:rPr>
        <w:t>Part 1: Response to Reviewer 1</w:t>
      </w:r>
    </w:p>
    <w:p w14:paraId="0546C65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firstLine="0"/>
        <w:textAlignment w:val="auto"/>
        <w:rPr>
          <w:rFonts w:ascii="Times New Roman" w:hAnsi="Times New Roman" w:eastAsia="Times New Roman"/>
          <w:i w:val="0"/>
          <w:sz w:val="24"/>
        </w:rPr>
      </w:pPr>
      <w:r>
        <w:rPr>
          <w:rFonts w:hint="eastAsia" w:ascii="Times New Roman" w:hAnsi="Times New Roman" w:eastAsia="Times New Roman"/>
          <w:i w:val="0"/>
          <w:sz w:val="24"/>
        </w:rPr>
        <w:t>We thank Reviewer for the thorough and constructive comments on our manuscript. The comments have been addressed through targeted revisions to the abstract and keywords, the literature review and research objectives, the explicit modeling assumptions and threshold rationales, the figure and table presentation, the cyber-physical mechanism description, the limitations and future research directions, the conclusions, and the reference list. We respond to each of the seven numbered points in sequence below. For each point we restate the concern, describe the specific changes made to the revised manuscript, and quote the corresponding revised text where appropriate.</w:t>
      </w:r>
    </w:p>
    <w:p w14:paraId="67AFA4F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firstLine="0"/>
        <w:textAlignment w:val="auto"/>
        <w:rPr>
          <w:sz w:val="28"/>
          <w:szCs w:val="28"/>
        </w:rPr>
      </w:pPr>
      <w:r>
        <w:rPr>
          <w:rFonts w:ascii="Times New Roman" w:hAnsi="Times New Roman" w:eastAsia="Times New Roman"/>
          <w:b/>
          <w:sz w:val="28"/>
          <w:szCs w:val="28"/>
        </w:rPr>
        <w:t>Comment 1: Abstract and Keywords</w:t>
      </w:r>
    </w:p>
    <w:p w14:paraId="438F5B1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firstLine="0"/>
        <w:textAlignment w:val="auto"/>
        <w:rPr>
          <w:sz w:val="24"/>
          <w:szCs w:val="24"/>
        </w:rPr>
      </w:pPr>
      <w:r>
        <w:rPr>
          <w:rFonts w:ascii="Times New Roman" w:hAnsi="Times New Roman" w:eastAsia="Times New Roman"/>
          <w:b/>
          <w:i w:val="0"/>
          <w:sz w:val="24"/>
          <w:szCs w:val="24"/>
        </w:rPr>
        <w:t>Reviewer Comment:</w:t>
      </w:r>
    </w:p>
    <w:p w14:paraId="7278605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firstLine="0"/>
        <w:textAlignment w:val="auto"/>
        <w:rPr>
          <w:sz w:val="24"/>
          <w:szCs w:val="24"/>
        </w:rPr>
      </w:pPr>
      <w:r>
        <w:rPr>
          <w:rFonts w:ascii="Times New Roman" w:hAnsi="Times New Roman" w:eastAsia="Times New Roman"/>
          <w:i/>
          <w:sz w:val="24"/>
          <w:szCs w:val="24"/>
        </w:rPr>
        <w:t>The abstract contains redundant descriptions and lengthy sentences. Please streamline the language, and concisely summarize the research scenario, core methodology, key findings and major innovations.</w:t>
      </w:r>
    </w:p>
    <w:p w14:paraId="09F6BA5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firstLine="0"/>
        <w:textAlignment w:val="auto"/>
        <w:rPr>
          <w:sz w:val="24"/>
          <w:szCs w:val="24"/>
          <w:highlight w:val="none"/>
        </w:rPr>
      </w:pPr>
      <w:r>
        <w:rPr>
          <w:rFonts w:ascii="Times New Roman" w:hAnsi="Times New Roman" w:eastAsia="Times New Roman"/>
          <w:b/>
          <w:i w:val="0"/>
          <w:sz w:val="24"/>
          <w:szCs w:val="24"/>
          <w:highlight w:val="none"/>
        </w:rPr>
        <w:t>Author Response:</w:t>
      </w:r>
    </w:p>
    <w:p w14:paraId="148762A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We agree with the Reviewer’s comment. The original abstract contained redundant descriptions and lengthy sentences, and the research scenario, methodological contribution, and principal findings were not presented concisely. We have rewritten the abstract accordingly.</w:t>
      </w:r>
    </w:p>
    <w:p w14:paraId="45E4BD2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The revised abstract is condensed and restructured. Redundant phrasing and nonessential detail have been removed, and the content is organized to reflect four elements: the research scenario, the core methodology, the key findings, and the innovation and engineering implications, as described below</w:t>
      </w:r>
      <w:r>
        <w:rPr>
          <w:rFonts w:hint="eastAsia" w:ascii="Times New Roman" w:hAnsi="Times New Roman" w:cs="Times New Roman"/>
          <w:sz w:val="24"/>
          <w:szCs w:val="24"/>
          <w:lang w:val="en-US" w:eastAsia="zh-CN"/>
        </w:rPr>
        <w:t>:</w:t>
      </w:r>
    </w:p>
    <w:p w14:paraId="712B96F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b w:val="0"/>
          <w:bCs w:val="0"/>
          <w:sz w:val="24"/>
          <w:szCs w:val="24"/>
          <w:highlight w:val="none"/>
          <w:lang w:val="en-US" w:eastAsia="zh-CN"/>
        </w:rPr>
      </w:pPr>
      <w:r>
        <w:rPr>
          <w:rFonts w:hint="eastAsia" w:ascii="Times New Roman" w:hAnsi="Times New Roman" w:cs="Times New Roman"/>
          <w:b/>
          <w:bCs/>
          <w:sz w:val="24"/>
          <w:szCs w:val="24"/>
          <w:highlight w:val="none"/>
          <w:lang w:val="en-US" w:eastAsia="zh-CN"/>
        </w:rPr>
        <w:t xml:space="preserve">1. </w:t>
      </w:r>
      <w:r>
        <w:rPr>
          <w:rFonts w:hint="default" w:ascii="Times New Roman" w:hAnsi="Times New Roman" w:cs="Times New Roman"/>
          <w:b/>
          <w:bCs/>
          <w:sz w:val="24"/>
          <w:szCs w:val="24"/>
          <w:highlight w:val="none"/>
          <w:lang w:val="en-US" w:eastAsia="zh-CN"/>
        </w:rPr>
        <w:t>Research Scenario:</w:t>
      </w:r>
      <w:r>
        <w:rPr>
          <w:rFonts w:hint="eastAsia" w:ascii="Times New Roman" w:hAnsi="Times New Roman" w:cs="Times New Roman"/>
          <w:b/>
          <w:bCs/>
          <w:sz w:val="24"/>
          <w:szCs w:val="24"/>
          <w:highlight w:val="none"/>
          <w:lang w:val="en-US" w:eastAsia="zh-CN"/>
        </w:rPr>
        <w:t xml:space="preserve"> </w:t>
      </w:r>
      <w:r>
        <w:rPr>
          <w:rFonts w:hint="default" w:ascii="Times New Roman" w:hAnsi="Times New Roman" w:cs="Times New Roman"/>
          <w:b w:val="0"/>
          <w:bCs w:val="0"/>
          <w:sz w:val="24"/>
          <w:szCs w:val="24"/>
          <w:highlight w:val="none"/>
          <w:lang w:val="en-US" w:eastAsia="zh-CN"/>
        </w:rPr>
        <w:t>The abstract now states the problem precisely: a complete water-source outage affecting an urban water supply cyber-physical system, and frames the study around proactive intervention rather than post-hoc assessment.</w:t>
      </w:r>
    </w:p>
    <w:p w14:paraId="60D2DE2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highlight w:val="none"/>
          <w:lang w:val="en-US" w:eastAsia="zh-CN"/>
        </w:rPr>
      </w:pPr>
      <w:r>
        <w:rPr>
          <w:rFonts w:hint="eastAsia" w:ascii="Times New Roman" w:hAnsi="Times New Roman" w:cs="Times New Roman"/>
          <w:b/>
          <w:bCs/>
          <w:sz w:val="24"/>
          <w:szCs w:val="24"/>
          <w:highlight w:val="none"/>
          <w:lang w:val="en-US" w:eastAsia="zh-CN"/>
        </w:rPr>
        <w:t>2. Core Methodology:</w:t>
      </w:r>
      <w:r>
        <w:rPr>
          <w:rFonts w:hint="eastAsia" w:ascii="Times New Roman" w:hAnsi="Times New Roman" w:cs="Times New Roman"/>
          <w:sz w:val="24"/>
          <w:szCs w:val="24"/>
          <w:highlight w:val="none"/>
          <w:lang w:val="en-US" w:eastAsia="zh-CN"/>
        </w:rPr>
        <w:t xml:space="preserve"> </w:t>
      </w:r>
      <w:r>
        <w:rPr>
          <w:rFonts w:hint="eastAsia" w:ascii="Times New Roman" w:hAnsi="Times New Roman" w:cs="Times New Roman"/>
          <w:b w:val="0"/>
          <w:bCs w:val="0"/>
          <w:sz w:val="24"/>
          <w:szCs w:val="24"/>
          <w:highlight w:val="none"/>
          <w:lang w:val="en-US" w:eastAsia="zh-CN"/>
        </w:rPr>
        <w:t>The abstract now states the methodological contribution in explicit terms: a three-layer cyber-physical co-simulation framework that couples pressure-driven hydraulics with SCADA-informed demand management, and that binds graded tank-level warning states to demand retention multipliers under a one-way ratchet. It further introduces two complementary metrics that jointly evaluate pressure compliance and delivered water service.</w:t>
      </w:r>
    </w:p>
    <w:p w14:paraId="4A8801B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sz w:val="24"/>
          <w:szCs w:val="24"/>
          <w:highlight w:val="none"/>
          <w:lang w:val="en-US" w:eastAsia="zh-CN"/>
        </w:rPr>
      </w:pPr>
      <w:r>
        <w:rPr>
          <w:rFonts w:hint="eastAsia" w:ascii="Times New Roman" w:hAnsi="Times New Roman" w:cs="Times New Roman"/>
          <w:b/>
          <w:bCs/>
          <w:sz w:val="24"/>
          <w:szCs w:val="24"/>
          <w:highlight w:val="none"/>
          <w:lang w:val="en-US" w:eastAsia="zh-CN"/>
        </w:rPr>
        <w:t xml:space="preserve">3. </w:t>
      </w:r>
      <w:r>
        <w:rPr>
          <w:rFonts w:hint="default" w:ascii="Times New Roman" w:hAnsi="Times New Roman" w:cs="Times New Roman"/>
          <w:b/>
          <w:bCs/>
          <w:sz w:val="24"/>
          <w:szCs w:val="24"/>
          <w:highlight w:val="none"/>
          <w:lang w:val="en-US" w:eastAsia="zh-CN"/>
        </w:rPr>
        <w:t>Key Findings:</w:t>
      </w:r>
      <w:r>
        <w:rPr>
          <w:rFonts w:hint="default" w:ascii="Times New Roman" w:hAnsi="Times New Roman" w:cs="Times New Roman"/>
          <w:sz w:val="24"/>
          <w:szCs w:val="24"/>
          <w:highlight w:val="none"/>
          <w:lang w:val="en-US" w:eastAsia="zh-CN"/>
        </w:rPr>
        <w:t xml:space="preserve"> The abstract now reports the principal results concisely and states their causal interpretation. It identifies that the intervention postpones outlet failure and extends emergency-grade supply, and that the gain arises from the temporal reallocation of a fixed storage volume rather than from water creation. It also notes that the benefit remains positive across varying warning thresholds, storage capacity, outage duration, and demand load, thereby conveying both the magnitude and the generality of the observed improvement.</w:t>
      </w:r>
    </w:p>
    <w:p w14:paraId="07CBCCF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ascii="Times New Roman" w:hAnsi="Times New Roman" w:eastAsia="Times New Roman"/>
          <w:i/>
          <w:sz w:val="24"/>
          <w:szCs w:val="24"/>
        </w:rPr>
      </w:pPr>
      <w:r>
        <w:rPr>
          <w:rFonts w:hint="eastAsia" w:ascii="Times New Roman" w:hAnsi="Times New Roman" w:cs="Times New Roman"/>
          <w:b/>
          <w:bCs/>
          <w:sz w:val="24"/>
          <w:szCs w:val="24"/>
          <w:highlight w:val="none"/>
          <w:lang w:val="en-US" w:eastAsia="zh-CN"/>
        </w:rPr>
        <w:t xml:space="preserve">4. Major Innovations &amp; Engineering Implications: </w:t>
      </w:r>
      <w:r>
        <w:rPr>
          <w:rFonts w:hint="default" w:ascii="Times New Roman" w:hAnsi="Times New Roman" w:cs="Times New Roman"/>
          <w:b w:val="0"/>
          <w:bCs w:val="0"/>
          <w:sz w:val="24"/>
          <w:szCs w:val="24"/>
          <w:highlight w:val="none"/>
          <w:lang w:val="en-US" w:eastAsia="zh-CN"/>
        </w:rPr>
        <w:t>The abstract closes by articulating the contribution—overcoming the passive, purely physical-layer limitation of current resilience practice—and its practical relevance, namely providing a foundation for information-mediated emergency dispatch in smart water utilities.</w:t>
      </w:r>
      <w:r>
        <w:rPr>
          <w:rFonts w:ascii="Times New Roman" w:hAnsi="Times New Roman" w:eastAsia="Times New Roman"/>
          <w:i/>
          <w:sz w:val="24"/>
          <w:szCs w:val="24"/>
        </w:rPr>
        <w:t xml:space="preserve"> </w:t>
      </w:r>
    </w:p>
    <w:p w14:paraId="538E8F7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b w:val="0"/>
          <w:bCs w:val="0"/>
          <w:sz w:val="24"/>
          <w:szCs w:val="24"/>
          <w:highlight w:val="none"/>
          <w:lang w:val="en-US" w:eastAsia="zh-CN"/>
        </w:rPr>
      </w:pPr>
      <w:r>
        <w:rPr>
          <w:rFonts w:hint="eastAsia" w:ascii="Times New Roman" w:hAnsi="Times New Roman" w:cs="Times New Roman"/>
          <w:b/>
          <w:bCs/>
          <w:sz w:val="24"/>
          <w:szCs w:val="24"/>
          <w:highlight w:val="none"/>
          <w:lang w:val="en-US" w:eastAsia="zh-CN"/>
        </w:rPr>
        <w:t xml:space="preserve">Keywords: </w:t>
      </w:r>
      <w:r>
        <w:rPr>
          <w:rFonts w:hint="default" w:ascii="Times New Roman" w:hAnsi="Times New Roman" w:cs="Times New Roman"/>
          <w:b w:val="0"/>
          <w:bCs w:val="0"/>
          <w:sz w:val="24"/>
          <w:szCs w:val="24"/>
          <w:highlight w:val="none"/>
          <w:lang w:val="en-US" w:eastAsia="zh-CN"/>
        </w:rPr>
        <w:t xml:space="preserve">Urban water supply </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 xml:space="preserve"> the system of study</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w:t>
      </w:r>
      <w:r>
        <w:rPr>
          <w:rFonts w:hint="eastAsia" w:ascii="Times New Roman" w:hAnsi="Times New Roman" w:cs="Times New Roman"/>
          <w:b w:val="0"/>
          <w:bCs w:val="0"/>
          <w:sz w:val="24"/>
          <w:szCs w:val="24"/>
          <w:highlight w:val="none"/>
          <w:lang w:val="en-US" w:eastAsia="zh-CN"/>
        </w:rPr>
        <w:t xml:space="preserve"> </w:t>
      </w:r>
      <w:r>
        <w:rPr>
          <w:rFonts w:hint="default" w:ascii="Times New Roman" w:hAnsi="Times New Roman" w:cs="Times New Roman"/>
          <w:b w:val="0"/>
          <w:bCs w:val="0"/>
          <w:sz w:val="24"/>
          <w:szCs w:val="24"/>
          <w:highlight w:val="none"/>
          <w:lang w:val="en-US" w:eastAsia="zh-CN"/>
        </w:rPr>
        <w:t xml:space="preserve">Cyber-physical system </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the coupled architecture</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w:t>
      </w:r>
      <w:r>
        <w:rPr>
          <w:rFonts w:hint="eastAsia" w:ascii="Times New Roman" w:hAnsi="Times New Roman" w:cs="Times New Roman"/>
          <w:b w:val="0"/>
          <w:bCs w:val="0"/>
          <w:sz w:val="24"/>
          <w:szCs w:val="24"/>
          <w:highlight w:val="none"/>
          <w:lang w:val="en-US" w:eastAsia="zh-CN"/>
        </w:rPr>
        <w:t xml:space="preserve"> </w:t>
      </w:r>
      <w:r>
        <w:rPr>
          <w:rFonts w:hint="default" w:ascii="Times New Roman" w:hAnsi="Times New Roman" w:cs="Times New Roman"/>
          <w:b w:val="0"/>
          <w:bCs w:val="0"/>
          <w:sz w:val="24"/>
          <w:szCs w:val="24"/>
          <w:highlight w:val="none"/>
          <w:lang w:val="en-US" w:eastAsia="zh-CN"/>
        </w:rPr>
        <w:t xml:space="preserve">Proactive resilience </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the overarching contribution</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w:t>
      </w:r>
      <w:r>
        <w:rPr>
          <w:rFonts w:hint="eastAsia" w:ascii="Times New Roman" w:hAnsi="Times New Roman" w:cs="Times New Roman"/>
          <w:b w:val="0"/>
          <w:bCs w:val="0"/>
          <w:sz w:val="24"/>
          <w:szCs w:val="24"/>
          <w:highlight w:val="none"/>
          <w:lang w:val="en-US" w:eastAsia="zh-CN"/>
        </w:rPr>
        <w:t xml:space="preserve"> </w:t>
      </w:r>
      <w:r>
        <w:rPr>
          <w:rFonts w:hint="default" w:ascii="Times New Roman" w:hAnsi="Times New Roman" w:cs="Times New Roman"/>
          <w:b w:val="0"/>
          <w:bCs w:val="0"/>
          <w:sz w:val="24"/>
          <w:szCs w:val="24"/>
          <w:highlight w:val="none"/>
          <w:lang w:val="en-US" w:eastAsia="zh-CN"/>
        </w:rPr>
        <w:t xml:space="preserve">Early warning management </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the operational mechanism</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w:t>
      </w:r>
      <w:r>
        <w:rPr>
          <w:rFonts w:hint="eastAsia" w:ascii="Times New Roman" w:hAnsi="Times New Roman" w:cs="Times New Roman"/>
          <w:b w:val="0"/>
          <w:bCs w:val="0"/>
          <w:sz w:val="24"/>
          <w:szCs w:val="24"/>
          <w:highlight w:val="none"/>
          <w:lang w:val="en-US" w:eastAsia="zh-CN"/>
        </w:rPr>
        <w:t xml:space="preserve"> </w:t>
      </w:r>
      <w:r>
        <w:rPr>
          <w:rFonts w:hint="default" w:ascii="Times New Roman" w:hAnsi="Times New Roman" w:cs="Times New Roman"/>
          <w:b w:val="0"/>
          <w:bCs w:val="0"/>
          <w:sz w:val="24"/>
          <w:szCs w:val="24"/>
          <w:highlight w:val="none"/>
          <w:lang w:val="en-US" w:eastAsia="zh-CN"/>
        </w:rPr>
        <w:t xml:space="preserve">Graded demand curtailment </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the executable intervention</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w:t>
      </w:r>
      <w:r>
        <w:rPr>
          <w:rFonts w:hint="eastAsia" w:ascii="Times New Roman" w:hAnsi="Times New Roman" w:cs="Times New Roman"/>
          <w:b w:val="0"/>
          <w:bCs w:val="0"/>
          <w:sz w:val="24"/>
          <w:szCs w:val="24"/>
          <w:highlight w:val="none"/>
          <w:lang w:val="en-US" w:eastAsia="zh-CN"/>
        </w:rPr>
        <w:t xml:space="preserve"> </w:t>
      </w:r>
      <w:r>
        <w:rPr>
          <w:rFonts w:hint="default" w:ascii="Times New Roman" w:hAnsi="Times New Roman" w:cs="Times New Roman"/>
          <w:b w:val="0"/>
          <w:bCs w:val="0"/>
          <w:sz w:val="24"/>
          <w:szCs w:val="24"/>
          <w:highlight w:val="none"/>
          <w:lang w:val="en-US" w:eastAsia="zh-CN"/>
        </w:rPr>
        <w:t xml:space="preserve">Co-simulation </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 xml:space="preserve"> the evaluation methodology</w:t>
      </w:r>
      <w:r>
        <w:rPr>
          <w:rFonts w:hint="eastAsia" w:ascii="Times New Roman" w:hAnsi="Times New Roman" w:cs="Times New Roman"/>
          <w:b w:val="0"/>
          <w:bCs w:val="0"/>
          <w:sz w:val="24"/>
          <w:szCs w:val="24"/>
          <w:highlight w:val="none"/>
          <w:lang w:val="en-US" w:eastAsia="zh-CN"/>
        </w:rPr>
        <w:t>)</w:t>
      </w:r>
      <w:r>
        <w:rPr>
          <w:rFonts w:hint="default" w:ascii="Times New Roman" w:hAnsi="Times New Roman" w:cs="Times New Roman"/>
          <w:b w:val="0"/>
          <w:bCs w:val="0"/>
          <w:sz w:val="24"/>
          <w:szCs w:val="24"/>
          <w:highlight w:val="none"/>
          <w:lang w:val="en-US" w:eastAsia="zh-CN"/>
        </w:rPr>
        <w:t>.</w:t>
      </w:r>
    </w:p>
    <w:p w14:paraId="6EB1CEC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both"/>
        <w:textAlignment w:val="auto"/>
        <w:rPr>
          <w:rFonts w:hint="default" w:ascii="Times New Roman" w:hAnsi="Times New Roman" w:cs="Times New Roman"/>
          <w:b w:val="0"/>
          <w:bCs w:val="0"/>
          <w:sz w:val="24"/>
          <w:szCs w:val="24"/>
          <w:highlight w:val="none"/>
          <w:lang w:val="en-US" w:eastAsia="zh-CN"/>
        </w:rPr>
      </w:pPr>
      <w:r>
        <w:rPr>
          <w:rFonts w:hint="default" w:ascii="Times New Roman" w:hAnsi="Times New Roman" w:cs="Times New Roman"/>
          <w:b w:val="0"/>
          <w:bCs w:val="0"/>
          <w:sz w:val="24"/>
          <w:szCs w:val="24"/>
          <w:highlight w:val="none"/>
          <w:lang w:val="en-US" w:eastAsia="zh-CN"/>
        </w:rPr>
        <w:t>The revised abstract and keywords are presented at the beginning of the revised manuscript (Abstract and Keywords sections).</w:t>
      </w:r>
    </w:p>
    <w:p w14:paraId="1445762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firstLine="0"/>
        <w:textAlignment w:val="auto"/>
        <w:rPr>
          <w:rFonts w:hint="default" w:ascii="Times New Roman" w:hAnsi="Times New Roman" w:eastAsia="Times New Roman"/>
          <w:b/>
          <w:sz w:val="28"/>
          <w:szCs w:val="28"/>
        </w:rPr>
      </w:pPr>
      <w:r>
        <w:rPr>
          <w:rFonts w:hint="default" w:ascii="Times New Roman" w:hAnsi="Times New Roman" w:eastAsia="Times New Roman"/>
          <w:b/>
          <w:sz w:val="28"/>
          <w:szCs w:val="28"/>
        </w:rPr>
        <w:t>Comment 2: Introduction</w:t>
      </w:r>
    </w:p>
    <w:p w14:paraId="0A0DC7E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6767F74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literature review is superficial. Most references are simply listed without in-depth comparative analysis. Please sort out state-of-the-art studies on water supply CPS, resilience assessment and early warning technologies, and clearly clarify the marginal contributions of this work against existing literature. The three research objectives are scattered. Reorganize and condense them at the end of the introduction to clearly state the problems to be solved, models to be established and mechanisms to be revealed.</w:t>
      </w:r>
    </w:p>
    <w:p w14:paraId="75B2D8F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2F1D175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default" w:ascii="Times New Roman" w:hAnsi="Times New Roman" w:cs="Times New Roman"/>
          <w:sz w:val="24"/>
          <w:szCs w:val="24"/>
        </w:rPr>
        <w:t>We agree with the Reviewer</w:t>
      </w:r>
      <w:r>
        <w:rPr>
          <w:rFonts w:hint="default" w:ascii="Times New Roman" w:hAnsi="Times New Roman" w:cs="Times New Roman"/>
          <w:sz w:val="24"/>
          <w:szCs w:val="24"/>
          <w:lang w:val="en-US" w:eastAsia="zh-CN"/>
        </w:rPr>
        <w:t>’</w:t>
      </w:r>
      <w:r>
        <w:rPr>
          <w:rFonts w:hint="default" w:ascii="Times New Roman" w:hAnsi="Times New Roman" w:cs="Times New Roman"/>
          <w:sz w:val="24"/>
          <w:szCs w:val="24"/>
        </w:rPr>
        <w:t>s comment. The original Introduction listed a large number of references without sufficient comparative analysis, did not clearly delineate the contribution of this work relative to the existing literature, and presented the research objectives in a scattered manner. We have restructured the Introduction accordingly, and the revision addresses each aspect as follows</w:t>
      </w:r>
      <w:r>
        <w:rPr>
          <w:rFonts w:hint="eastAsia" w:ascii="Times New Roman" w:hAnsi="Times New Roman" w:cs="Times New Roman"/>
          <w:sz w:val="24"/>
          <w:szCs w:val="24"/>
          <w:lang w:val="en-US" w:eastAsia="zh-CN"/>
        </w:rPr>
        <w:t>:</w:t>
      </w:r>
    </w:p>
    <w:p w14:paraId="64D1E3C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b/>
          <w:bCs/>
          <w:sz w:val="24"/>
          <w:szCs w:val="24"/>
          <w:lang w:val="en-US" w:eastAsia="zh-CN"/>
        </w:rPr>
      </w:pPr>
      <w:r>
        <w:rPr>
          <w:rFonts w:hint="eastAsia" w:ascii="Times New Roman" w:hAnsi="Times New Roman" w:cs="Times New Roman"/>
          <w:b/>
          <w:bCs/>
          <w:sz w:val="24"/>
          <w:szCs w:val="24"/>
          <w:lang w:val="en-US" w:eastAsia="zh-CN"/>
        </w:rPr>
        <w:t>1. Reorganization of the literature review around three research streams</w:t>
      </w:r>
    </w:p>
    <w:p w14:paraId="5EBE889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Stream 1: urban water supply cyber-physical systems and cyber monitoring. The review now groups the existing work on CPS integration, Internet of Things-enabled sensing, and SCADA-based monitoring (Alexandra et al., 2023; Ande et al., 2020; Bhardwaj et al., 2021; Khan et al., 2020; Liao et al., 2025; Yadav and Paul, 2021; Bonilla et al., 2022). It then distinguishes the work on cybersecurity, anomaly detection, and leak localization (Hassanzadeh et al., 2020; Taormina et al., 2018; Amin et al., 2013), and concludes that these studies treat the cyber layer largely as an observatory and rarely connect its output to hydraulic control during a physical interruption.</w:t>
      </w:r>
    </w:p>
    <w:p w14:paraId="3701C6F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Stream 2: resilience assessment and performance evaluation. The review now separates structural (topological) measures from hydraulic measures (Cai et al., 2021; Meng et al., 2018; Feng et al., 2025; Zhang et al., 2022), and situates them within the reliability and resilience frameworks of Hashimoto et al. (1982), Cimellaro et al. (2010), and the Safe and SuRe approach of Butler et al. (2017). It then identifies two limitations specific to the problem at hand: existing assessments are largely post hoc, and a pressure-only index can overestimate performance under demand reduction, because pressure may be preserved while the delivered volume decreases.</w:t>
      </w:r>
    </w:p>
    <w:p w14:paraId="479D74C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Stream 3: early warning and emergency decision support. The review now groups the work on early warning application and alarm generation (Juan García et al., 2017; Liu and Mijic, 2025) against the passive fail-and-repair paradigm (Holling, 1973; Hosseini et al., 2016), and notes that existing warning applications rarely specify how a warning state is translated into an executable control rule. This stream introduces the central concept of the revised manuscript, the time difference window.</w:t>
      </w:r>
    </w:p>
    <w:p w14:paraId="614E763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b/>
          <w:bCs/>
          <w:sz w:val="24"/>
          <w:szCs w:val="24"/>
          <w:lang w:val="en-US" w:eastAsia="zh-CN"/>
        </w:rPr>
      </w:pPr>
      <w:r>
        <w:rPr>
          <w:rFonts w:hint="eastAsia" w:ascii="Times New Roman" w:hAnsi="Times New Roman" w:cs="Times New Roman"/>
          <w:b/>
          <w:bCs/>
          <w:sz w:val="24"/>
          <w:szCs w:val="24"/>
          <w:lang w:val="en-US" w:eastAsia="zh-CN"/>
        </w:rPr>
        <w:t>2. Clarification of the marginal contribution of this study</w:t>
      </w:r>
    </w:p>
    <w:p w14:paraId="4275BA8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The revised Introduction now states explicitly how this work differs from the existing literature. Whereas prior studies have concentrated on anomaly detection, cybersecurity, and leak localization, or on open-loop resilience assessment and alarm generation, the present study integrates rapid cyber observation with physical hydraulic intervention through SCADA-informed demand management. Early warning management (EWM) is operationalized as a graded demand-management rule that binds warning states to demand retention multipliers, and is therefore an executable intervention rather than a monitoring or alarm function. This distinction is now stated in the Introduction rather than left implicit.</w:t>
      </w:r>
    </w:p>
    <w:p w14:paraId="00569EB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b/>
          <w:bCs/>
          <w:sz w:val="24"/>
          <w:szCs w:val="24"/>
          <w:lang w:val="en-US" w:eastAsia="zh-CN"/>
        </w:rPr>
      </w:pPr>
      <w:r>
        <w:rPr>
          <w:rFonts w:hint="eastAsia" w:ascii="Times New Roman" w:hAnsi="Times New Roman" w:cs="Times New Roman"/>
          <w:b/>
          <w:bCs/>
          <w:sz w:val="24"/>
          <w:szCs w:val="24"/>
          <w:lang w:val="en-US" w:eastAsia="zh-CN"/>
        </w:rPr>
        <w:t>3. Consolidation of the research objectives</w:t>
      </w:r>
    </w:p>
    <w:p w14:paraId="6252390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The three original objectives, which were previously scattered across the manuscript, have been condensed and reorganized at the end of the Introduction as three concerns that correspond directly to the Reviewer</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s requested structure of problem, model, and mechanism:</w:t>
      </w:r>
    </w:p>
    <w:p w14:paraId="42F1FF4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(1) The problem to be solved is the post-outage collapse caused by uncurtailed tank depletion, in which pressure and delivery fail together once storage is exhausted.</w:t>
      </w:r>
    </w:p>
    <w:p w14:paraId="71CE4E9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(2) The model to be established is a three-layer coupled co-simulation platform that links an EPANET 2.2 pressure-driven kernel to a SCADA module through a time-synchronized database, and that contains an executable EWM rule binding graded tank-level warning states to demand retention multipliers under a one-way ratchet. The framework is proposed at the conceptual level and is instantiated as this platform, as clarified in Section 2.3.</w:t>
      </w:r>
    </w:p>
    <w:p w14:paraId="3822320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(3) The mechanism to be revealed is the information-mediated origin of the time difference window, its quantification through the complementary service time and service value metrics, and its operational boundaries under varying warning thresholds, storage capacity, outage duration, and demand load.</w:t>
      </w:r>
    </w:p>
    <w:p w14:paraId="31EC65D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highlight w:val="none"/>
        </w:rPr>
      </w:pPr>
      <w:r>
        <w:rPr>
          <w:rFonts w:hint="default" w:ascii="Times New Roman" w:hAnsi="Times New Roman" w:eastAsia="Times New Roman" w:cs="Times New Roman"/>
          <w:b/>
          <w:sz w:val="24"/>
          <w:szCs w:val="24"/>
          <w:highlight w:val="none"/>
        </w:rPr>
        <w:t>Comment 3: Materials and Methods</w:t>
      </w:r>
    </w:p>
    <w:p w14:paraId="5782197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15B8530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current model assumes ideal conditions including error-free sensors, zero communication delay and no data loss. Please add a dedicated section to list all ideal assumptions explicitly, and discuss their potential impacts on simulation results in practical engineering.</w:t>
      </w:r>
    </w:p>
    <w:p w14:paraId="38358B5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pressure threshold refers to GB 50013-2018, while the water level thresholds for five risk states (Normal, Warning, Alert, Critical, Outlet Failure) are given without explanation. Please specify the basis for threshold division (engineering experience, published literature or numerical trial calculation).</w:t>
      </w:r>
    </w:p>
    <w:p w14:paraId="3A8EE66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72DDEB8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agree with the Reviewer</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s comment. The original manuscript did not provide a transparent account of its idealized modeling assumptions, and the basis for the tank-level thresholds used to define the five risk states was not explained. Both aspects have been addressed in the revised Materials and Methods, which has been reorganized into five subsections (Sections 2.1–2.5) so that the modeling workflow, control logic, experimental design, resilience metrics, and assumptions are each presented explicitly.</w:t>
      </w:r>
    </w:p>
    <w:p w14:paraId="16B4FB1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1. Dedicated section listing all idealized assumptions and their practical implications</w:t>
      </w:r>
    </w:p>
    <w:p w14:paraId="3EDD930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A dedicated subsection, Section 2.5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Model Assumptions,</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has been added. To isolate the effect of the EWM intervention, the co-simulation model makes eleven explicit idealized assumptions, designated A1 to A11, regarding:</w:t>
      </w:r>
    </w:p>
    <w:p w14:paraId="4413E12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(A1) the fixed 300 s simulation time step;</w:t>
      </w:r>
    </w:p>
    <w:p w14:paraId="0123C87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(A2) the clipping of sub-zero pressures in the network average;</w:t>
      </w:r>
    </w:p>
    <w:p w14:paraId="206440C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(A3) error-free and continuous sensing;</w:t>
      </w:r>
    </w:p>
    <w:p w14:paraId="2EC91A8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(A4) lossless and instantaneous communication;</w:t>
      </w:r>
    </w:p>
    <w:p w14:paraId="0A6E0A8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(A5) instantaneous and uniform execution of demand curtailment;</w:t>
      </w:r>
    </w:p>
    <w:p w14:paraId="4140D6E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(A6) demand-pattern-based value weighting;</w:t>
      </w:r>
    </w:p>
    <w:p w14:paraId="5747ADA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(A7) a tank-only storage anchor;</w:t>
      </w:r>
    </w:p>
    <w:p w14:paraId="25B3AA7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(A8) hydraulic symmetry between the two tanks;</w:t>
      </w:r>
    </w:p>
    <w:p w14:paraId="26BAE36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(A9) a deterministic step-function outage;</w:t>
      </w:r>
    </w:p>
    <w:p w14:paraId="038DF30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(A10) the absence of water quality deterioration; and</w:t>
      </w:r>
    </w:p>
    <w:p w14:paraId="52FC965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(A11) binary (on/off) pump control.</w:t>
      </w:r>
    </w:p>
    <w:p w14:paraId="4660A54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Each assumption is documented in Supplementary Table S1 together with its practical engineering impact and the corresponding feasible mitigation. For example, sensor noise or drift may cause premature or delayed EWM triggering, communication congestion or packet loss may delay the demand-reduction command, finite valve actuation time may reduce the immediacy of control execution, deep curtailment may increase water age and stagnation, and real disturbances may involve partial or cascading failures rather than a deterministic total pump shutdown. We also clarify in Section 2.5 the conservative direction of these simplifications: because they act against the intervention rather than in its favor, the reported pressure and Service-value gains are conservative, and their robustness is supported by the multi-factor sensitivity analysis (Section 3.4) and the mass balance audit (Section 2.3).</w:t>
      </w:r>
    </w:p>
    <w:p w14:paraId="7E7A8D6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2. Explicit basis for the water-level risk thresholds</w:t>
      </w:r>
    </w:p>
    <w:p w14:paraId="70D0B4E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The basis for the four tank-level thresholds that define the five operational states (NORMAL, WARNING, ALERT, CRITICAL, and OUTLET FAILURE) is now stated explicitly in a new subsection, Section 2.2.3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Basis of the Tiered Thresholds,</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and the corresponding trigger logic and control actions are summarized in Table 1. The revised subsection clarifies that the thresholds do not all derive from a single source:</w:t>
      </w:r>
    </w:p>
    <w:p w14:paraId="22528DD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(1) </w:t>
      </w:r>
      <w:r>
        <w:rPr>
          <w:rFonts w:hint="default" w:ascii="Times New Roman" w:hAnsi="Times New Roman" w:eastAsia="Times New Roman" w:cs="Times New Roman"/>
          <w:i w:val="0"/>
          <w:sz w:val="24"/>
          <w:szCs w:val="24"/>
        </w:rPr>
        <w:t>The 0.5 m outlet-failure threshold is based on physical geometry. It corresponds to the crown elevation of the tank outlet pipelines; water levels below this elevation induce vortex formation and air entrainment, which necessitates isolation.</w:t>
      </w:r>
    </w:p>
    <w:p w14:paraId="4D7BC24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(2) </w:t>
      </w:r>
      <w:r>
        <w:rPr>
          <w:rFonts w:hint="default" w:ascii="Times New Roman" w:hAnsi="Times New Roman" w:eastAsia="Times New Roman" w:cs="Times New Roman"/>
          <w:i w:val="0"/>
          <w:sz w:val="24"/>
          <w:szCs w:val="24"/>
        </w:rPr>
        <w:t>The 5.0 m WARNING threshold coincides with the baseline PLC pump activation setpoint, which ensures consistency between routine and emergency operation. A tank level below 5.0 m alone does not trigger demand management while normal pumping remains operational.</w:t>
      </w:r>
    </w:p>
    <w:p w14:paraId="0D631DA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highlight w:val="none"/>
        </w:rPr>
      </w:pPr>
      <w:r>
        <w:rPr>
          <w:rFonts w:hint="eastAsia" w:ascii="Times New Roman" w:hAnsi="Times New Roman" w:cs="Times New Roman"/>
          <w:i w:val="0"/>
          <w:sz w:val="24"/>
          <w:szCs w:val="24"/>
          <w:highlight w:val="none"/>
          <w:lang w:val="en-US" w:eastAsia="zh-CN"/>
        </w:rPr>
        <w:t xml:space="preserve">(3) </w:t>
      </w:r>
      <w:r>
        <w:rPr>
          <w:rFonts w:hint="default" w:ascii="Times New Roman" w:hAnsi="Times New Roman" w:eastAsia="Times New Roman" w:cs="Times New Roman"/>
          <w:i w:val="0"/>
          <w:sz w:val="24"/>
          <w:szCs w:val="24"/>
          <w:highlight w:val="none"/>
        </w:rPr>
        <w:t>The 3.5 m ALERT threshold and the 2.0 m CRITICAL threshold are operational control levels, not statutory water-level requirements. They equally partition the usable water depth between 5.0 m and 0.5 m, thereby providing sequential response windows for graded curtailment.</w:t>
      </w:r>
    </w:p>
    <w:p w14:paraId="4BA3F4B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also clarify the role of the statutory value in the revised manuscript. The pressure threshold of 0.10 MPa referenced in GB 50013-2018 (MOHURD, 2018) serves only as the emergency critical supply pressure of the Service time metric (Section 2.4.1). It is not used as the source of the tank-level thresholds, and the numerical values in the two cases are therefore conceptually distinct.</w:t>
      </w:r>
    </w:p>
    <w:p w14:paraId="22D9178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3. Verification of the threshold selection</w:t>
      </w:r>
    </w:p>
    <w:p w14:paraId="72962D8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To examine the robustness of the threshold configuration, a sensitivity experiment has been added (Section 2.2.4 and Section 3.4). Five threshold designs, D1 to D5, are defined, ranging from late and liberal triggering (D1) to early and conservative triggering (D5), with D3 representing the symmetric baseline configuration of 5.0/3.5/2.0/0.5 m. This experiment addresses the question of engineering experience versus numerical trial calculation directly, by showing how the Service time varies monotonically with the threshold design and thereby demonstrating that the symmetric D3 design is a balanced operating point rather than a numerically arbitrary choice.</w:t>
      </w:r>
    </w:p>
    <w:p w14:paraId="2509CE7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highlight w:val="none"/>
        </w:rPr>
      </w:pPr>
      <w:r>
        <w:rPr>
          <w:rFonts w:hint="default" w:ascii="Times New Roman" w:hAnsi="Times New Roman" w:eastAsia="Times New Roman" w:cs="Times New Roman"/>
          <w:b/>
          <w:sz w:val="24"/>
          <w:szCs w:val="24"/>
          <w:highlight w:val="none"/>
        </w:rPr>
        <w:t>Comment 4: Results</w:t>
      </w:r>
    </w:p>
    <w:p w14:paraId="1236825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6E1A798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There are incomplete labels, missing legends and spelling mistakes (e.g., Critical Threbok should be Critical Threshold) in Figs. 4 and 5. Please check all figures, tables, abbreviations and captions thoroughly to unify the format and eliminate typos.</w:t>
      </w:r>
    </w:p>
    <w:p w14:paraId="010D256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7FB919E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default" w:ascii="Times New Roman" w:hAnsi="Times New Roman" w:eastAsia="Times New Roman" w:cs="Times New Roman"/>
          <w:i w:val="0"/>
          <w:sz w:val="24"/>
          <w:szCs w:val="24"/>
        </w:rPr>
        <w:t>We appreciate the Reviewer’s careful observation regarding the incomplete labels, missing legends, and typographical errors in the figures and tables.</w:t>
      </w:r>
      <w:r>
        <w:rPr>
          <w:rFonts w:hint="eastAsia" w:ascii="Times New Roman" w:hAnsi="Times New Roman" w:cs="Times New Roman"/>
          <w:i w:val="0"/>
          <w:sz w:val="24"/>
          <w:szCs w:val="24"/>
          <w:lang w:val="en-US" w:eastAsia="zh-CN"/>
        </w:rPr>
        <w:t xml:space="preserve"> The original figures and tables contained incomplete labels, missing legends, and typographical errors, including the misspelled axis label </w:t>
      </w:r>
      <w:r>
        <w:rPr>
          <w:rFonts w:hint="default" w:ascii="Times New Roman" w:hAnsi="Times New Roman" w:cs="Times New Roman"/>
          <w:i w:val="0"/>
          <w:sz w:val="24"/>
          <w:szCs w:val="24"/>
          <w:lang w:val="en-US" w:eastAsia="zh-CN"/>
        </w:rPr>
        <w:t>“</w:t>
      </w:r>
      <w:r>
        <w:rPr>
          <w:rFonts w:hint="eastAsia" w:ascii="Times New Roman" w:hAnsi="Times New Roman" w:cs="Times New Roman"/>
          <w:i w:val="0"/>
          <w:sz w:val="24"/>
          <w:szCs w:val="24"/>
          <w:lang w:val="en-US" w:eastAsia="zh-CN"/>
        </w:rPr>
        <w:t>Critical Threbok.</w:t>
      </w:r>
      <w:r>
        <w:rPr>
          <w:rFonts w:hint="default" w:ascii="Times New Roman" w:hAnsi="Times New Roman" w:cs="Times New Roman"/>
          <w:i w:val="0"/>
          <w:sz w:val="24"/>
          <w:szCs w:val="24"/>
          <w:lang w:val="en-US" w:eastAsia="zh-CN"/>
        </w:rPr>
        <w:t>”</w:t>
      </w:r>
      <w:r>
        <w:rPr>
          <w:rFonts w:hint="eastAsia" w:ascii="Times New Roman" w:hAnsi="Times New Roman" w:cs="Times New Roman"/>
          <w:i w:val="0"/>
          <w:sz w:val="24"/>
          <w:szCs w:val="24"/>
          <w:lang w:val="en-US" w:eastAsia="zh-CN"/>
        </w:rPr>
        <w:t xml:space="preserve"> We have conducted a comprehensive check of all figures, tables, abbreviations, variables, captions, legends, axis labels, units, and operational-state labels throughout the revised manuscript, and the presentation has been standardized accordingly.</w:t>
      </w:r>
    </w:p>
    <w:p w14:paraId="2B767FC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b/>
          <w:bCs/>
          <w:i w:val="0"/>
          <w:sz w:val="24"/>
          <w:szCs w:val="24"/>
          <w:lang w:val="en-US" w:eastAsia="zh-CN"/>
        </w:rPr>
      </w:pPr>
      <w:r>
        <w:rPr>
          <w:rFonts w:hint="eastAsia" w:ascii="Times New Roman" w:hAnsi="Times New Roman" w:cs="Times New Roman"/>
          <w:b/>
          <w:bCs/>
          <w:i w:val="0"/>
          <w:sz w:val="24"/>
          <w:szCs w:val="24"/>
          <w:lang w:val="en-US" w:eastAsia="zh-CN"/>
        </w:rPr>
        <w:t>1. Correction of the identified error</w:t>
      </w:r>
    </w:p>
    <w:p w14:paraId="13CD18B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eastAsia" w:ascii="Times New Roman" w:hAnsi="Times New Roman" w:cs="Times New Roman"/>
          <w:i w:val="0"/>
          <w:sz w:val="24"/>
          <w:szCs w:val="24"/>
          <w:lang w:val="en-US" w:eastAsia="zh-CN"/>
        </w:rPr>
        <w:t xml:space="preserve">The incorrect label </w:t>
      </w:r>
      <w:r>
        <w:rPr>
          <w:rFonts w:hint="default" w:ascii="Times New Roman" w:hAnsi="Times New Roman" w:cs="Times New Roman"/>
          <w:i w:val="0"/>
          <w:sz w:val="24"/>
          <w:szCs w:val="24"/>
          <w:lang w:val="en-US" w:eastAsia="zh-CN"/>
        </w:rPr>
        <w:t>“</w:t>
      </w:r>
      <w:r>
        <w:rPr>
          <w:rFonts w:hint="eastAsia" w:ascii="Times New Roman" w:hAnsi="Times New Roman" w:cs="Times New Roman"/>
          <w:i w:val="0"/>
          <w:sz w:val="24"/>
          <w:szCs w:val="24"/>
          <w:lang w:val="en-US" w:eastAsia="zh-CN"/>
        </w:rPr>
        <w:t>Critical Threbok</w:t>
      </w:r>
      <w:r>
        <w:rPr>
          <w:rFonts w:hint="default" w:ascii="Times New Roman" w:hAnsi="Times New Roman" w:cs="Times New Roman"/>
          <w:i w:val="0"/>
          <w:sz w:val="24"/>
          <w:szCs w:val="24"/>
          <w:lang w:val="en-US" w:eastAsia="zh-CN"/>
        </w:rPr>
        <w:t>”</w:t>
      </w:r>
      <w:r>
        <w:rPr>
          <w:rFonts w:hint="eastAsia" w:ascii="Times New Roman" w:hAnsi="Times New Roman" w:cs="Times New Roman"/>
          <w:i w:val="0"/>
          <w:sz w:val="24"/>
          <w:szCs w:val="24"/>
          <w:lang w:val="en-US" w:eastAsia="zh-CN"/>
        </w:rPr>
        <w:t xml:space="preserve"> has been corrected to </w:t>
      </w:r>
      <w:r>
        <w:rPr>
          <w:rFonts w:hint="default" w:ascii="Times New Roman" w:hAnsi="Times New Roman" w:cs="Times New Roman"/>
          <w:i w:val="0"/>
          <w:sz w:val="24"/>
          <w:szCs w:val="24"/>
          <w:lang w:val="en-US" w:eastAsia="zh-CN"/>
        </w:rPr>
        <w:t>“</w:t>
      </w:r>
      <w:r>
        <w:rPr>
          <w:rFonts w:hint="eastAsia" w:ascii="Times New Roman" w:hAnsi="Times New Roman" w:cs="Times New Roman"/>
          <w:i w:val="0"/>
          <w:sz w:val="24"/>
          <w:szCs w:val="24"/>
          <w:lang w:val="en-US" w:eastAsia="zh-CN"/>
        </w:rPr>
        <w:t>Critical Threshold</w:t>
      </w:r>
      <w:r>
        <w:rPr>
          <w:rFonts w:hint="default" w:ascii="Times New Roman" w:hAnsi="Times New Roman" w:cs="Times New Roman"/>
          <w:i w:val="0"/>
          <w:sz w:val="24"/>
          <w:szCs w:val="24"/>
          <w:lang w:val="en-US" w:eastAsia="zh-CN"/>
        </w:rPr>
        <w:t>”</w:t>
      </w:r>
      <w:r>
        <w:rPr>
          <w:rFonts w:hint="eastAsia" w:ascii="Times New Roman" w:hAnsi="Times New Roman" w:cs="Times New Roman"/>
          <w:i w:val="0"/>
          <w:sz w:val="24"/>
          <w:szCs w:val="24"/>
          <w:lang w:val="en-US" w:eastAsia="zh-CN"/>
        </w:rPr>
        <w:t xml:space="preserve"> wherever it appears. In addition, the revised figure set no longer uses the ambiguous threshold-label wording that caused the original confusion; the pressure threshold of 0.10 MPa is now denoted explicitly as the critical supply pressure in both the figures and the corresponding captions and text.</w:t>
      </w:r>
    </w:p>
    <w:p w14:paraId="51EE5C7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b/>
          <w:bCs/>
          <w:i w:val="0"/>
          <w:sz w:val="24"/>
          <w:szCs w:val="24"/>
          <w:lang w:val="en-US" w:eastAsia="zh-CN"/>
        </w:rPr>
      </w:pPr>
      <w:r>
        <w:rPr>
          <w:rFonts w:hint="eastAsia" w:ascii="Times New Roman" w:hAnsi="Times New Roman" w:cs="Times New Roman"/>
          <w:b/>
          <w:bCs/>
          <w:i w:val="0"/>
          <w:sz w:val="24"/>
          <w:szCs w:val="24"/>
          <w:lang w:val="en-US" w:eastAsia="zh-CN"/>
        </w:rPr>
        <w:t>2. Completion and standardization of labels and legends</w:t>
      </w:r>
    </w:p>
    <w:p w14:paraId="6A9F640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eastAsia" w:ascii="Times New Roman" w:hAnsi="Times New Roman" w:cs="Times New Roman"/>
          <w:i w:val="0"/>
          <w:sz w:val="24"/>
          <w:szCs w:val="24"/>
          <w:lang w:val="en-US" w:eastAsia="zh-CN"/>
        </w:rPr>
        <w:t>The labels and legends in Figs. 4 and 5 have been completed and standardized. In Fig. 4 the warning (W), alert (A), and critical (C) trigger lines are now labeled explicitly, and the two comparative cases are identified consistently as No EWM and EWM. In Fig. 5 the two cases are distinguished by bar shade, with the legend stating that the darker bars denote the EWM case; the two metrics are labeled by their full names, Service value and Service time, which are consistent with the metric definitions given in Section 2.4.</w:t>
      </w:r>
    </w:p>
    <w:p w14:paraId="11ACBEE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b/>
          <w:bCs/>
          <w:i w:val="0"/>
          <w:sz w:val="24"/>
          <w:szCs w:val="24"/>
          <w:lang w:val="en-US" w:eastAsia="zh-CN"/>
        </w:rPr>
      </w:pPr>
      <w:r>
        <w:rPr>
          <w:rFonts w:hint="eastAsia" w:ascii="Times New Roman" w:hAnsi="Times New Roman" w:cs="Times New Roman"/>
          <w:b/>
          <w:bCs/>
          <w:i w:val="0"/>
          <w:sz w:val="24"/>
          <w:szCs w:val="24"/>
          <w:lang w:val="en-US" w:eastAsia="zh-CN"/>
        </w:rPr>
        <w:t>3. Unification of the five operational-state labels</w:t>
      </w:r>
    </w:p>
    <w:p w14:paraId="129F61C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eastAsia" w:ascii="Times New Roman" w:hAnsi="Times New Roman" w:cs="Times New Roman"/>
          <w:i w:val="0"/>
          <w:sz w:val="24"/>
          <w:szCs w:val="24"/>
          <w:lang w:val="en-US" w:eastAsia="zh-CN"/>
        </w:rPr>
        <w:t>The five operational states are now identified consistently throughout the manuscript, figures, and tables as NORMAL, WARNING, ALERT, CRITICAL, and OUTLET FAILURE, with the corresponding tank-level thresholds of 5.0, 3.5, 2.0, and 0.5 m. This consistent naming is used in Table 1 (trigger logic), in the Results text, and in Figs. 3 and 4, so that the state names, the figure annotations, and the numerical thresholds are mutually consistent.</w:t>
      </w:r>
    </w:p>
    <w:p w14:paraId="0FE93EE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b/>
          <w:bCs/>
          <w:i w:val="0"/>
          <w:sz w:val="24"/>
          <w:szCs w:val="24"/>
          <w:lang w:val="en-US" w:eastAsia="zh-CN"/>
        </w:rPr>
      </w:pPr>
      <w:r>
        <w:rPr>
          <w:rFonts w:hint="eastAsia" w:ascii="Times New Roman" w:hAnsi="Times New Roman" w:cs="Times New Roman"/>
          <w:b/>
          <w:bCs/>
          <w:i w:val="0"/>
          <w:sz w:val="24"/>
          <w:szCs w:val="24"/>
          <w:lang w:val="en-US" w:eastAsia="zh-CN"/>
        </w:rPr>
        <w:t>4. Systematic check of the remaining figures, tables, and formatting</w:t>
      </w:r>
    </w:p>
    <w:p w14:paraId="5BCC786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eastAsia" w:ascii="Times New Roman" w:hAnsi="Times New Roman" w:cs="Times New Roman"/>
          <w:i w:val="0"/>
          <w:sz w:val="24"/>
          <w:szCs w:val="24"/>
          <w:lang w:val="en-US" w:eastAsia="zh-CN"/>
        </w:rPr>
        <w:t>Beyond Figs. 4 and 5, we checked and unified the captions, axis labels, units, and variable names of all figures and tables, including Figs. 1, 3, and 6 and Table 1. In particular:</w:t>
      </w:r>
    </w:p>
    <w:p w14:paraId="3AB8D2D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eastAsia" w:ascii="Times New Roman" w:hAnsi="Times New Roman" w:cs="Times New Roman"/>
          <w:i w:val="0"/>
          <w:sz w:val="24"/>
          <w:szCs w:val="24"/>
          <w:lang w:val="en-US" w:eastAsia="zh-CN"/>
        </w:rPr>
        <w:t>(1) Fig. 3 panel labels now state the quantity plotted in each panel ((a) tank T1 water level, (b) tank T2 water level with the 0.5 m outlet isolation threshold, and (c) the nodal pressure map) and include the white dashed contour for the 0.10 MPa emergency threshold.</w:t>
      </w:r>
    </w:p>
    <w:p w14:paraId="5DD8CA2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eastAsia" w:ascii="Times New Roman" w:hAnsi="Times New Roman" w:cs="Times New Roman"/>
          <w:i w:val="0"/>
          <w:sz w:val="24"/>
          <w:szCs w:val="24"/>
          <w:lang w:val="en-US" w:eastAsia="zh-CN"/>
        </w:rPr>
        <w:t>(2) Fig. 6 now includes a legend that states that light curves and markers denote the No EWM case and dark curves denote the EWM case, and clarifies that the plotted values are phase averaged over four fault onset offsets with error bars denoting per-phase minimum to maximum ranges.</w:t>
      </w:r>
    </w:p>
    <w:p w14:paraId="087FA58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eastAsia" w:ascii="Times New Roman" w:hAnsi="Times New Roman" w:cs="Times New Roman"/>
          <w:i w:val="0"/>
          <w:sz w:val="24"/>
          <w:szCs w:val="24"/>
          <w:lang w:val="en-US" w:eastAsia="zh-CN"/>
        </w:rPr>
        <w:t>(3) Units are given uniformly (m for water level, MPa for pressure, h for time, m³ and m³·pattern for volume and weighted service), and abbreviations and variable names are introduced once at first use.</w:t>
      </w:r>
    </w:p>
    <w:p w14:paraId="728DE2A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cs="Times New Roman"/>
          <w:i w:val="0"/>
          <w:sz w:val="24"/>
          <w:szCs w:val="24"/>
          <w:lang w:val="en-US" w:eastAsia="zh-CN"/>
        </w:rPr>
      </w:pPr>
      <w:r>
        <w:rPr>
          <w:rFonts w:hint="eastAsia" w:ascii="Times New Roman" w:hAnsi="Times New Roman" w:cs="Times New Roman"/>
          <w:i w:val="0"/>
          <w:sz w:val="24"/>
          <w:szCs w:val="24"/>
          <w:lang w:val="en-US" w:eastAsia="zh-CN"/>
        </w:rPr>
        <w:t>These revisions have been implemented throughout the revised Results section so that all figures, tables, abbreviations, and captions are internally consistent and free of typographical errors.</w:t>
      </w:r>
    </w:p>
    <w:p w14:paraId="4DFC9D6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highlight w:val="none"/>
        </w:rPr>
      </w:pPr>
      <w:r>
        <w:rPr>
          <w:rFonts w:hint="default" w:ascii="Times New Roman" w:hAnsi="Times New Roman" w:eastAsia="Times New Roman" w:cs="Times New Roman"/>
          <w:b/>
          <w:sz w:val="24"/>
          <w:szCs w:val="24"/>
          <w:highlight w:val="none"/>
        </w:rPr>
        <w:t>Comment 5: Discussion</w:t>
      </w:r>
    </w:p>
    <w:p w14:paraId="1AC1373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00248F1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concept of time-based performance compensation is proposed, but the linkage mechanism among cyber sensing layer, control layer and physical hydraulic layer is not decomposed. Combine the CPS three-layer architecture to elaborate the complete working mechanism of EWM.</w:t>
      </w:r>
    </w:p>
    <w:p w14:paraId="425F300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Expand the discussion on limitations: the model does not take water quality deterioration, negative pressure backflow and dynamic user water demand into account; supplement relevant explanations.</w:t>
      </w:r>
    </w:p>
    <w:p w14:paraId="4C219A2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future research directions (AI, Digital Twin) are too general. Combine the current simulation framework to specify how to integrate Digital Twin technology and realize dynamic threshold adjustment.</w:t>
      </w:r>
    </w:p>
    <w:p w14:paraId="597D167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5A02903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We agree with the Reviewer’s constructive comment. The original Discussion proposed the concept of time-based performance compensation but did not decompose the linkage among the cyber sensing, control, and physical hydraulic layers; the limitations section was not sufficiently developed; and the future directions on AI and Digital Twin were too general. The Discussion has been reorganized into four subsections (Sections 4.1–4.4) and the three aspects of the comment are addressed as follows. </w:t>
      </w:r>
    </w:p>
    <w:p w14:paraId="1BC021C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1. Decomposition of the complete EWM working mechanism within the three-layer CPS architecture (Section 4.2)</w:t>
      </w:r>
    </w:p>
    <w:p w14:paraId="50ABE72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A new subsection, Section 4.2 </w:t>
      </w:r>
      <w:r>
        <w:rPr>
          <w:rFonts w:hint="default" w:ascii="Times New Roman" w:hAnsi="Times New Roman" w:cs="Times New Roman"/>
          <w:sz w:val="24"/>
          <w:szCs w:val="24"/>
          <w:lang w:val="en-US" w:eastAsia="zh-CN"/>
        </w:rPr>
        <w:t>“</w:t>
      </w:r>
      <w:r>
        <w:rPr>
          <w:rFonts w:hint="default" w:ascii="Times New Roman" w:hAnsi="Times New Roman" w:cs="Times New Roman"/>
          <w:sz w:val="24"/>
          <w:szCs w:val="24"/>
        </w:rPr>
        <w:t>Cyber-Physical Systems Mechanism,</w:t>
      </w:r>
      <w:r>
        <w:rPr>
          <w:rFonts w:hint="default" w:ascii="Times New Roman" w:hAnsi="Times New Roman" w:cs="Times New Roman"/>
          <w:sz w:val="24"/>
          <w:szCs w:val="24"/>
          <w:lang w:val="en-US" w:eastAsia="zh-CN"/>
        </w:rPr>
        <w:t>”</w:t>
      </w:r>
      <w:r>
        <w:rPr>
          <w:rFonts w:hint="default" w:ascii="Times New Roman" w:hAnsi="Times New Roman" w:cs="Times New Roman"/>
          <w:sz w:val="24"/>
          <w:szCs w:val="24"/>
        </w:rPr>
        <w:t xml:space="preserve"> now decomposes the EWM process into the full information–decision–actuation loop within the three-layer architecture. The loop comprises four functional stages, which are mapped onto the three layers as follows. Sensing and control are two functions of the cyber layer, coupling is performed by the coupling layer, and actuation is performed by the physical layer:</w:t>
      </w:r>
    </w:p>
    <w:p w14:paraId="2EBBBB6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(1) </w:t>
      </w:r>
      <w:r>
        <w:rPr>
          <w:rFonts w:hint="default" w:ascii="Times New Roman" w:hAnsi="Times New Roman" w:cs="Times New Roman"/>
          <w:sz w:val="24"/>
          <w:szCs w:val="24"/>
        </w:rPr>
        <w:t>Sensing (cyber layer)</w:t>
      </w:r>
      <w:r>
        <w:rPr>
          <w:rFonts w:hint="eastAsia" w:ascii="Times New Roman" w:hAnsi="Times New Roman" w:cs="Times New Roman"/>
          <w:sz w:val="24"/>
          <w:szCs w:val="24"/>
          <w:lang w:val="en-US" w:eastAsia="zh-CN"/>
        </w:rPr>
        <w:t>:</w:t>
      </w:r>
      <w:r>
        <w:rPr>
          <w:rFonts w:hint="default" w:ascii="Times New Roman" w:hAnsi="Times New Roman" w:cs="Times New Roman"/>
          <w:sz w:val="24"/>
          <w:szCs w:val="24"/>
        </w:rPr>
        <w:t xml:space="preserve"> Samples tank water levels and pump states at 300 s intervals.</w:t>
      </w:r>
    </w:p>
    <w:p w14:paraId="15246D8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(2) </w:t>
      </w:r>
      <w:r>
        <w:rPr>
          <w:rFonts w:hint="default" w:ascii="Times New Roman" w:hAnsi="Times New Roman" w:cs="Times New Roman"/>
          <w:sz w:val="24"/>
          <w:szCs w:val="24"/>
        </w:rPr>
        <w:t>Control (cyber layer)</w:t>
      </w:r>
      <w:r>
        <w:rPr>
          <w:rFonts w:hint="eastAsia" w:ascii="Times New Roman" w:hAnsi="Times New Roman" w:cs="Times New Roman"/>
          <w:sz w:val="24"/>
          <w:szCs w:val="24"/>
          <w:lang w:val="en-US" w:eastAsia="zh-CN"/>
        </w:rPr>
        <w:t>:</w:t>
      </w:r>
      <w:r>
        <w:rPr>
          <w:rFonts w:hint="default" w:ascii="Times New Roman" w:hAnsi="Times New Roman" w:cs="Times New Roman"/>
          <w:sz w:val="24"/>
          <w:szCs w:val="24"/>
        </w:rPr>
        <w:t xml:space="preserve"> Evaluates the tiered thresholds, enforces the one-way ratchet, and issues the demand retention multiplier.</w:t>
      </w:r>
    </w:p>
    <w:p w14:paraId="445BCD9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(3) </w:t>
      </w:r>
      <w:r>
        <w:rPr>
          <w:rFonts w:hint="default" w:ascii="Times New Roman" w:hAnsi="Times New Roman" w:cs="Times New Roman"/>
          <w:sz w:val="24"/>
          <w:szCs w:val="24"/>
        </w:rPr>
        <w:t>Coupling (coupling layer)</w:t>
      </w:r>
      <w:r>
        <w:rPr>
          <w:rFonts w:hint="eastAsia" w:ascii="Times New Roman" w:hAnsi="Times New Roman" w:cs="Times New Roman"/>
          <w:sz w:val="24"/>
          <w:szCs w:val="24"/>
          <w:lang w:val="en-US" w:eastAsia="zh-CN"/>
        </w:rPr>
        <w:t>:</w:t>
      </w:r>
      <w:r>
        <w:rPr>
          <w:rFonts w:hint="default" w:ascii="Times New Roman" w:hAnsi="Times New Roman" w:cs="Times New Roman"/>
          <w:sz w:val="24"/>
          <w:szCs w:val="24"/>
        </w:rPr>
        <w:t xml:space="preserve"> The time-synchronized database timestamps every state and exposes it to the decision module, which makes each transition auditable and reproducible.</w:t>
      </w:r>
    </w:p>
    <w:p w14:paraId="75D2030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(4) </w:t>
      </w:r>
      <w:r>
        <w:rPr>
          <w:rFonts w:hint="default" w:ascii="Times New Roman" w:hAnsi="Times New Roman" w:cs="Times New Roman"/>
          <w:sz w:val="24"/>
          <w:szCs w:val="24"/>
        </w:rPr>
        <w:t>Actuation (physical layer)</w:t>
      </w:r>
      <w:r>
        <w:rPr>
          <w:rFonts w:hint="eastAsia" w:ascii="Times New Roman" w:hAnsi="Times New Roman" w:cs="Times New Roman"/>
          <w:sz w:val="24"/>
          <w:szCs w:val="24"/>
          <w:lang w:val="en-US" w:eastAsia="zh-CN"/>
        </w:rPr>
        <w:t>:</w:t>
      </w:r>
      <w:r>
        <w:rPr>
          <w:rFonts w:hint="default" w:ascii="Times New Roman" w:hAnsi="Times New Roman" w:cs="Times New Roman"/>
          <w:sz w:val="24"/>
          <w:szCs w:val="24"/>
        </w:rPr>
        <w:t xml:space="preserve"> Executes the curtailment at the next hydraulic solve, and the resulting state closes the loop.</w:t>
      </w:r>
    </w:p>
    <w:p w14:paraId="5C9FE1A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T</w:t>
      </w:r>
      <w:r>
        <w:rPr>
          <w:rFonts w:hint="default" w:ascii="Times New Roman" w:hAnsi="Times New Roman" w:cs="Times New Roman"/>
          <w:sz w:val="24"/>
          <w:szCs w:val="24"/>
        </w:rPr>
        <w:t>he architecture remains a three-layer structure (physical, coupling, cyber), and that sensing and control are two functions within the cyber layer rather than two additional layers; the four items above are four functional stages of a single closed loop executed across the three layers.</w:t>
      </w:r>
    </w:p>
    <w:p w14:paraId="60D1711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The revised subsection emphasizes that physical tank storage provides the capacity over which the intervention operates, whereas graded demand management determines how that capacity is allocated during the failure process. It further states that every arrow of the loop is exercised by a logged event, namely the state escalations at 26.08, 28.00, and 30.83 h, and the command execution verified in Section 3.2.</w:t>
      </w:r>
    </w:p>
    <w:p w14:paraId="120EF2B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Crucially, Section 4.2 now includes a counterfactual comparison that isolates the causal role of the loop. With identical storage, hydraulics, and protection rules, the network without the loop exhausts its storage at 30.17 h, whereas the network with the loop exhausts it at 34.33 h; the 4.1</w:t>
      </w:r>
      <w:r>
        <w:rPr>
          <w:rFonts w:hint="eastAsia" w:ascii="Times New Roman" w:hAnsi="Times New Roman" w:cs="Times New Roman"/>
          <w:sz w:val="24"/>
          <w:szCs w:val="24"/>
          <w:lang w:val="en-US" w:eastAsia="zh-CN"/>
        </w:rPr>
        <w:t>6</w:t>
      </w:r>
      <w:r>
        <w:rPr>
          <w:rFonts w:hint="default" w:ascii="Times New Roman" w:hAnsi="Times New Roman" w:cs="Times New Roman"/>
          <w:sz w:val="24"/>
          <w:szCs w:val="24"/>
        </w:rPr>
        <w:t xml:space="preserve"> h window is therefore information mediated rather than storage driven. This directly resolves the ambiguity raised in the original manuscript, in which the time-based compensation was asserted without decomposing its origin.</w:t>
      </w:r>
    </w:p>
    <w:p w14:paraId="5AB1554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2. Expanded discussion of the limitations (Section 4.4)</w:t>
      </w:r>
    </w:p>
    <w:p w14:paraId="6F5383C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The limitations section has been substantially expanded to address the three processes the Reviewer identified, together with their hydraulic and practical consequences:</w:t>
      </w:r>
    </w:p>
    <w:p w14:paraId="76EB569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(1) </w:t>
      </w:r>
      <w:r>
        <w:rPr>
          <w:rFonts w:hint="default" w:ascii="Times New Roman" w:hAnsi="Times New Roman" w:cs="Times New Roman"/>
          <w:sz w:val="24"/>
          <w:szCs w:val="24"/>
        </w:rPr>
        <w:t>Water quality deterioration</w:t>
      </w:r>
      <w:r>
        <w:rPr>
          <w:rFonts w:hint="eastAsia" w:ascii="Times New Roman" w:hAnsi="Times New Roman" w:cs="Times New Roman"/>
          <w:sz w:val="24"/>
          <w:szCs w:val="24"/>
          <w:lang w:val="en-US" w:eastAsia="zh-CN"/>
        </w:rPr>
        <w:t>:</w:t>
      </w:r>
      <w:r>
        <w:rPr>
          <w:rFonts w:hint="default" w:ascii="Times New Roman" w:hAnsi="Times New Roman" w:cs="Times New Roman"/>
          <w:sz w:val="24"/>
          <w:szCs w:val="24"/>
        </w:rPr>
        <w:t xml:space="preserve"> Low flow velocities during deep curtailment increase water age and stagnation, and chlorine residuals may decay along the preserved but slow-moving supply paths. Coupling the platform with the water quality solver of EPANET 2.2 would extend the evaluation from quantity resilience to quality resilience, consistent with network-based water quality assessment (Sitzenfrei, 2021) and drinking-water quality guidelines (WHO, 2022).</w:t>
      </w:r>
    </w:p>
    <w:p w14:paraId="31823AA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(2) </w:t>
      </w:r>
      <w:r>
        <w:rPr>
          <w:rFonts w:hint="default" w:ascii="Times New Roman" w:hAnsi="Times New Roman" w:cs="Times New Roman"/>
          <w:sz w:val="24"/>
          <w:szCs w:val="24"/>
        </w:rPr>
        <w:t>Low-</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or negative-pressure backflow and contaminant intrusion</w:t>
      </w:r>
      <w:r>
        <w:rPr>
          <w:rFonts w:hint="eastAsia" w:ascii="Times New Roman" w:hAnsi="Times New Roman" w:cs="Times New Roman"/>
          <w:sz w:val="24"/>
          <w:szCs w:val="24"/>
          <w:lang w:val="en-US" w:eastAsia="zh-CN"/>
        </w:rPr>
        <w:t>:</w:t>
      </w:r>
      <w:r>
        <w:rPr>
          <w:rFonts w:hint="default" w:ascii="Times New Roman" w:hAnsi="Times New Roman" w:cs="Times New Roman"/>
          <w:sz w:val="24"/>
          <w:szCs w:val="24"/>
        </w:rPr>
        <w:t xml:space="preserve"> Sub-atmospheric pressures and contaminant intrusion are not modeled, although low- and negative-pressure events are a documented pathway for microbial intrusion through leaks and submerged orifices (Besner et al., 2011), and this concern is reinforced by hydraulic resilience measures that couple water quality considerations (Hou et al., 2023) and by pipe failure probability modeling (Taiwo et al., 2023). Transient surge analysis is therefore identified as necessary before field deployment, even though the outlet guard limits tank drainage.</w:t>
      </w:r>
    </w:p>
    <w:p w14:paraId="68E647D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(3) </w:t>
      </w:r>
      <w:r>
        <w:rPr>
          <w:rFonts w:hint="default" w:ascii="Times New Roman" w:hAnsi="Times New Roman" w:cs="Times New Roman"/>
          <w:sz w:val="24"/>
          <w:szCs w:val="24"/>
        </w:rPr>
        <w:t>Dynamic user water demand</w:t>
      </w:r>
      <w:r>
        <w:rPr>
          <w:rFonts w:hint="eastAsia" w:ascii="Times New Roman" w:hAnsi="Times New Roman" w:cs="Times New Roman"/>
          <w:sz w:val="24"/>
          <w:szCs w:val="24"/>
          <w:lang w:val="en-US" w:eastAsia="zh-CN"/>
        </w:rPr>
        <w:t>:</w:t>
      </w:r>
      <w:r>
        <w:rPr>
          <w:rFonts w:hint="default" w:ascii="Times New Roman" w:hAnsi="Times New Roman" w:cs="Times New Roman"/>
          <w:sz w:val="24"/>
          <w:szCs w:val="24"/>
        </w:rPr>
        <w:t xml:space="preserve"> Demands are treated as fully controllable and static in pattern, whereas real customers respond to curtailment with behavioral adaptation and rebound. This is now stated explicitly as a boundary of the present analysis.</w:t>
      </w:r>
    </w:p>
    <w:p w14:paraId="70EE24F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3. Concrete pathway for Digital Twin integration and dynamic threshold adjustment (Section 4.4)</w:t>
      </w:r>
    </w:p>
    <w:p w14:paraId="545A55B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The future direction on Digital Twin is now tied directly to the current co-simulation platform. Because the physical and cyber domains interact only through the time-synchronized database, the simulated telemetry can be replaced by live SCADA feeds without structural change, which is consistent with the state-estimation architectures already demonstrated for water networks (Bonilla et al., 2022) and the role of digital technologies for critical-infrastructure climate resilience (Argyroudis et al., 2022). On this basis, dynamic threshold adjustment is described as a concrete receding-horizon procedure:</w:t>
      </w:r>
    </w:p>
    <w:p w14:paraId="45258A3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(1) </w:t>
      </w:r>
      <w:r>
        <w:rPr>
          <w:rFonts w:hint="default" w:ascii="Times New Roman" w:hAnsi="Times New Roman" w:cs="Times New Roman"/>
          <w:sz w:val="24"/>
          <w:szCs w:val="24"/>
        </w:rPr>
        <w:t>a state estimator updates the storage trajectory in real time;</w:t>
      </w:r>
    </w:p>
    <w:p w14:paraId="5C8413A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(2) </w:t>
      </w:r>
      <w:r>
        <w:rPr>
          <w:rFonts w:hint="default" w:ascii="Times New Roman" w:hAnsi="Times New Roman" w:cs="Times New Roman"/>
          <w:sz w:val="24"/>
          <w:szCs w:val="24"/>
        </w:rPr>
        <w:t>a demand forecast projects the depletion rate under the current pattern; and</w:t>
      </w:r>
    </w:p>
    <w:p w14:paraId="53EE987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eastAsia" w:ascii="Times New Roman" w:hAnsi="Times New Roman" w:cs="Times New Roman"/>
          <w:sz w:val="24"/>
          <w:szCs w:val="24"/>
          <w:lang w:val="en-US" w:eastAsia="zh-CN"/>
        </w:rPr>
        <w:t xml:space="preserve">(3) </w:t>
      </w:r>
      <w:r>
        <w:rPr>
          <w:rFonts w:hint="default" w:ascii="Times New Roman" w:hAnsi="Times New Roman" w:cs="Times New Roman"/>
          <w:sz w:val="24"/>
          <w:szCs w:val="24"/>
        </w:rPr>
        <w:t>the warning thresholds are recomputed online so that the predicted tank level reaches the isolation limit exactly at the expected restoration time.</w:t>
      </w:r>
    </w:p>
    <w:p w14:paraId="67E35F2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The revised subsection connects this procedure to the fixed ratchet studied here, noting that the ratchet logic and retention grades carry over unchanged. It further notes that a supply-interruption digital twin that couples remote meter and hydraulic data has already been demonstrated for multi-modal failure analysis (Pesantez et al., 2022), which supports the practical feasibility of the proposed extension, and that machine-learning demand forecasting and adaptive priority weighting through the node weights w_j are the natural next steps. This formulation anchors the future research direction in the current simulation architecture rather than presenting AI and Digital Twin as general, untethered directions.</w:t>
      </w:r>
    </w:p>
    <w:p w14:paraId="1D5D3D7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highlight w:val="none"/>
        </w:rPr>
      </w:pPr>
      <w:r>
        <w:rPr>
          <w:rFonts w:hint="default" w:ascii="Times New Roman" w:hAnsi="Times New Roman" w:eastAsia="Times New Roman" w:cs="Times New Roman"/>
          <w:b/>
          <w:sz w:val="24"/>
          <w:szCs w:val="24"/>
          <w:highlight w:val="none"/>
        </w:rPr>
        <w:t>Comment 6: Conclusions</w:t>
      </w:r>
    </w:p>
    <w:p w14:paraId="52CEEAB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63E5FF2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Remove repeated content and reorganize the conclusions into three parts: theoretical findings, key simulation results and engineering implications for clearer logic. Add targeted operational suggestions for water supply management departments to enrich the practical guidance of this research.</w:t>
      </w:r>
    </w:p>
    <w:p w14:paraId="144715F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2FCBAAC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appreciate the Reviewer’s constructive suggestion. The original Conclusions repeated several methodological and interpretative details already presented in the Results and Discussion sections, and did not separate the theoretical findings, the simulation results, and the practical implications into distinct parts. The Conclusions have been reorganized accordingly.</w:t>
      </w:r>
    </w:p>
    <w:p w14:paraId="3D11EFE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1. Reorganization into three distinct parts (Section 5)</w:t>
      </w:r>
    </w:p>
    <w:p w14:paraId="2290C6F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Section 5 is now structured as three clearly separated paragraphs, introduced by the labels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Theoretical finding,</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Key simulation results,</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and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Engineering implications,</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and each part carries a distinct function:</w:t>
      </w:r>
    </w:p>
    <w:p w14:paraId="7F097FC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(1) </w:t>
      </w:r>
      <w:r>
        <w:rPr>
          <w:rFonts w:hint="default" w:ascii="Times New Roman" w:hAnsi="Times New Roman" w:eastAsia="Times New Roman" w:cs="Times New Roman"/>
          <w:i w:val="0"/>
          <w:sz w:val="24"/>
          <w:szCs w:val="24"/>
        </w:rPr>
        <w:t>Theoretical finding</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The first paragraph states the main theoretical contribution: that proactive resilience in urban water supply cyber-physical systems can be achieved by exploiting the time difference window created by the mismatch between rapid cyber sensing and gradual hydraulic degradation. It then articulates the mechanism within the three-layer linkage, noting that the cyber layer performs both sensing and control and that the physical layer executes graded curtailment, and clarifies that early warning is not merely an alarm output but an executable emergency control mechanism. It concludes with the counterfactual evidence (identical storage fails at 30.17 h without the control loop and at 34.33 h with it) that isolates the claim, so the window is information mediated rather than storage driven. Repeated descriptions of the methodology and the platform are removed; this paragraph contains only the conceptual contribution.</w:t>
      </w:r>
    </w:p>
    <w:p w14:paraId="4A460CF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(2) </w:t>
      </w:r>
      <w:r>
        <w:rPr>
          <w:rFonts w:hint="default" w:ascii="Times New Roman" w:hAnsi="Times New Roman" w:eastAsia="Times New Roman" w:cs="Times New Roman"/>
          <w:i w:val="0"/>
          <w:sz w:val="24"/>
          <w:szCs w:val="24"/>
        </w:rPr>
        <w:t>Key simulation results</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The second paragraph condenses the principal numerical outcomes into a single summary, without reinstating the intermediate discussion: the postponement of outlet failure from 30.17 h to 34.33 h, the shortening of the outlet-failure duration within the fault window from 17.83 h to 13.67 h, the extension of Service time by 67.</w:t>
      </w:r>
      <w:r>
        <w:rPr>
          <w:rFonts w:hint="eastAsia" w:ascii="Times New Roman" w:hAnsi="Times New Roman" w:cs="Times New Roman"/>
          <w:i w:val="0"/>
          <w:sz w:val="24"/>
          <w:szCs w:val="24"/>
          <w:lang w:val="en-US" w:eastAsia="zh-CN"/>
        </w:rPr>
        <w:t>4</w:t>
      </w:r>
      <w:r>
        <w:rPr>
          <w:rFonts w:hint="default" w:ascii="Times New Roman" w:hAnsi="Times New Roman" w:eastAsia="Times New Roman" w:cs="Times New Roman"/>
          <w:i w:val="0"/>
          <w:sz w:val="24"/>
          <w:szCs w:val="24"/>
        </w:rPr>
        <w:t>% and the improvement of Service value by 2</w:t>
      </w:r>
      <w:r>
        <w:rPr>
          <w:rFonts w:hint="eastAsia" w:ascii="Times New Roman" w:hAnsi="Times New Roman" w:cs="Times New Roman"/>
          <w:i w:val="0"/>
          <w:sz w:val="24"/>
          <w:szCs w:val="24"/>
          <w:lang w:val="en-US" w:eastAsia="zh-CN"/>
        </w:rPr>
        <w:t>2</w:t>
      </w:r>
      <w:r>
        <w:rPr>
          <w:rFonts w:hint="default" w:ascii="Times New Roman" w:hAnsi="Times New Roman" w:eastAsia="Times New Roman" w:cs="Times New Roman"/>
          <w:i w:val="0"/>
          <w:sz w:val="24"/>
          <w:szCs w:val="24"/>
        </w:rPr>
        <w:t>.</w:t>
      </w:r>
      <w:r>
        <w:rPr>
          <w:rFonts w:hint="eastAsia" w:ascii="Times New Roman" w:hAnsi="Times New Roman" w:cs="Times New Roman"/>
          <w:i w:val="0"/>
          <w:sz w:val="24"/>
          <w:szCs w:val="24"/>
          <w:lang w:val="en-US" w:eastAsia="zh-CN"/>
        </w:rPr>
        <w:t>9</w:t>
      </w:r>
      <w:r>
        <w:rPr>
          <w:rFonts w:hint="default" w:ascii="Times New Roman" w:hAnsi="Times New Roman" w:eastAsia="Times New Roman" w:cs="Times New Roman"/>
          <w:i w:val="0"/>
          <w:sz w:val="24"/>
          <w:szCs w:val="24"/>
        </w:rPr>
        <w:t>%, the volumetric audit showing a change of only 0.6% in total delivered volume with a 25.5% reduction in the physically unserved volume, and the phase-averaged robustness of the Service time gain over the 264 paired runs.</w:t>
      </w:r>
    </w:p>
    <w:p w14:paraId="5C30B5B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(3) </w:t>
      </w:r>
      <w:r>
        <w:rPr>
          <w:rFonts w:hint="default" w:ascii="Times New Roman" w:hAnsi="Times New Roman" w:eastAsia="Times New Roman" w:cs="Times New Roman"/>
          <w:i w:val="0"/>
          <w:sz w:val="24"/>
          <w:szCs w:val="24"/>
        </w:rPr>
        <w:t>Engineering implications</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The third paragraph provides targeted, operational recommendations for urban water supply management departments, replacing the earlier generic statement about practical value.</w:t>
      </w:r>
    </w:p>
    <w:p w14:paraId="440F5EB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2. Targeted operational suggestions for water supply management departments</w:t>
      </w:r>
    </w:p>
    <w:p w14:paraId="06D1122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Following the Reviewer</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s request, the third paragraph now gives four concrete recommendations that are directly actionable by water supply management departments:</w:t>
      </w:r>
    </w:p>
    <w:p w14:paraId="0D802FC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(1) </w:t>
      </w:r>
      <w:r>
        <w:rPr>
          <w:rFonts w:hint="default" w:ascii="Times New Roman" w:hAnsi="Times New Roman" w:eastAsia="Times New Roman" w:cs="Times New Roman"/>
          <w:i w:val="0"/>
          <w:sz w:val="24"/>
          <w:szCs w:val="24"/>
        </w:rPr>
        <w:t>encode the graded retention schedule into the existing SCADA-to-execution pathway through advanced metering infrastructure, pressure-reducing valves, or equivalent controllable devices, with the retention tiers adopted as pre-agreed curtailment contracts for large users;</w:t>
      </w:r>
    </w:p>
    <w:p w14:paraId="45FF61C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(2) </w:t>
      </w:r>
      <w:r>
        <w:rPr>
          <w:rFonts w:hint="default" w:ascii="Times New Roman" w:hAnsi="Times New Roman" w:eastAsia="Times New Roman" w:cs="Times New Roman"/>
          <w:i w:val="0"/>
          <w:sz w:val="24"/>
          <w:szCs w:val="24"/>
        </w:rPr>
        <w:t>recalibrate the 5.0/3.5/2.0/0.5 m trigger levels to local tank geometry, storage capacity, expected outage duration, and demand load rather than transferring them between networks, because earlier curtailment extends service monotonically but sheds demand earlier and longer;</w:t>
      </w:r>
    </w:p>
    <w:p w14:paraId="57DBABE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(3) </w:t>
      </w:r>
      <w:r>
        <w:rPr>
          <w:rFonts w:hint="default" w:ascii="Times New Roman" w:hAnsi="Times New Roman" w:eastAsia="Times New Roman" w:cs="Times New Roman"/>
          <w:i w:val="0"/>
          <w:sz w:val="24"/>
          <w:szCs w:val="24"/>
        </w:rPr>
        <w:t>replace uniform demand reduction with priority-based allocation that protects hospitals and firefighting capacity before field deployment, for which the node weights of the Service value metric provide the designed entry point; and</w:t>
      </w:r>
    </w:p>
    <w:p w14:paraId="1215A2B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(4) </w:t>
      </w:r>
      <w:r>
        <w:rPr>
          <w:rFonts w:hint="default" w:ascii="Times New Roman" w:hAnsi="Times New Roman" w:eastAsia="Times New Roman" w:cs="Times New Roman"/>
          <w:i w:val="0"/>
          <w:sz w:val="24"/>
          <w:szCs w:val="24"/>
        </w:rPr>
        <w:t>where short-horizon forecasts are available, use a digital twin built on the existing co-simulation platform to recompute the trigger depths and retention multipliers online, so that the predicted tank level reaches the isolation limit exactly at the expected restoration time.</w:t>
      </w:r>
    </w:p>
    <w:p w14:paraId="23BCD0A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3. Removal of repeated content and standardization of terminology</w:t>
      </w:r>
    </w:p>
    <w:p w14:paraId="21F5A44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Repetitive content has been removed. The paragraph no longer restates the platform architecture, the sensitivity procedure, or the discussion of limitations in detail; these remain in Sections 2 and 4. The terminology is now consistent with the rest of the manuscript, using the time difference window, Service time and Service value, the complete 24 h water-source outage, and the graded retention schedule.</w:t>
      </w:r>
    </w:p>
    <w:p w14:paraId="6696DE6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highlight w:val="none"/>
        </w:rPr>
      </w:pPr>
      <w:r>
        <w:rPr>
          <w:rFonts w:hint="default" w:ascii="Times New Roman" w:hAnsi="Times New Roman" w:eastAsia="Times New Roman" w:cs="Times New Roman"/>
          <w:b/>
          <w:sz w:val="24"/>
          <w:szCs w:val="24"/>
          <w:highlight w:val="none"/>
        </w:rPr>
        <w:t>Comment 7: Language, Grammar and References</w:t>
      </w:r>
    </w:p>
    <w:p w14:paraId="166DDB3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31D5537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Proofread the full text to correct spelling errors, grammatical mistakes and awkward long sentences. Unify the expression of professional terms (time-difference buffer / time-difference window).</w:t>
      </w:r>
    </w:p>
    <w:p w14:paraId="1CDA6D7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Sort out the reference list: delete duplicate literature entries, and revise references to comply with the formatting requirements of ENGINEERING Management.</w:t>
      </w:r>
    </w:p>
    <w:p w14:paraId="3FB6669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7ED1F09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appreciate the Reviewer’s careful attention to the language quality, terminology, and reference formatting of the manuscript. We agree that several spelling errors, grammatical problems, awkward long sentences, and inconsistent technical expressions required correction.</w:t>
      </w:r>
      <w:r>
        <w:rPr>
          <w:rFonts w:hint="eastAsia" w:ascii="Times New Roman" w:hAnsi="Times New Roman" w:cs="Times New Roman"/>
          <w:i w:val="0"/>
          <w:sz w:val="24"/>
          <w:szCs w:val="24"/>
          <w:lang w:val="en-US" w:eastAsia="zh-CN"/>
        </w:rPr>
        <w:t xml:space="preserve"> </w:t>
      </w:r>
      <w:r>
        <w:rPr>
          <w:rFonts w:hint="default" w:ascii="Times New Roman" w:hAnsi="Times New Roman" w:eastAsia="Times New Roman" w:cs="Times New Roman"/>
          <w:i w:val="0"/>
          <w:sz w:val="24"/>
          <w:szCs w:val="24"/>
        </w:rPr>
        <w:t>A comprehensive language revision has been applied to the full manuscript, and the reference list has been checked, deduplicated, and reformatted according to the journal requirements.</w:t>
      </w:r>
    </w:p>
    <w:p w14:paraId="0AC0035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1. Full-text language revision</w:t>
      </w:r>
    </w:p>
    <w:p w14:paraId="58BCAE5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The entire manuscript has been proofread and revised, addressing the following:</w:t>
      </w:r>
    </w:p>
    <w:p w14:paraId="092CB01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(1) </w:t>
      </w:r>
      <w:r>
        <w:rPr>
          <w:rFonts w:hint="default" w:ascii="Times New Roman" w:hAnsi="Times New Roman" w:eastAsia="Times New Roman" w:cs="Times New Roman"/>
          <w:i w:val="0"/>
          <w:sz w:val="24"/>
          <w:szCs w:val="24"/>
        </w:rPr>
        <w:t>Spelling, punctuation, and grammar</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Spelling errors, punctuation, article use, verb tense, subject–verb agreement, and singular/plural inconsistencies have been corrected throughout the Abstract, Introduction, Methodology, Results, Discussion, and Conclusions.</w:t>
      </w:r>
    </w:p>
    <w:p w14:paraId="46799A8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(2) </w:t>
      </w:r>
      <w:r>
        <w:rPr>
          <w:rFonts w:hint="default" w:ascii="Times New Roman" w:hAnsi="Times New Roman" w:eastAsia="Times New Roman" w:cs="Times New Roman"/>
          <w:i w:val="0"/>
          <w:sz w:val="24"/>
          <w:szCs w:val="24"/>
        </w:rPr>
        <w:t>Long and complex sentences</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Excessively long or syntactically complex sentences have been restructured to improve readability, and paragraph-level coherence and transitions have been strengthened.</w:t>
      </w:r>
    </w:p>
    <w:p w14:paraId="1082D2E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(3) </w:t>
      </w:r>
      <w:r>
        <w:rPr>
          <w:rFonts w:hint="default" w:ascii="Times New Roman" w:hAnsi="Times New Roman" w:eastAsia="Times New Roman" w:cs="Times New Roman"/>
          <w:i w:val="0"/>
          <w:sz w:val="24"/>
          <w:szCs w:val="24"/>
        </w:rPr>
        <w:t>Redundant and awkward expressions</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Redundant, literal, and awkward expressions have been removed, and capitalization, hyphenation, units, symbols, abbreviations, and figure and table captions have been standardized across the manuscript.</w:t>
      </w:r>
    </w:p>
    <w:p w14:paraId="3971D2C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2. Unification of the professional terminology</w:t>
      </w:r>
    </w:p>
    <w:p w14:paraId="1F4D992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The inconsistent expressions noted by the Reviewer,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time-difference buffer</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and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time-difference window,</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have been unified. In the revised manuscript the terminology describing the mismatch between rapid cyber sensing and gradual hydraulic degradation is now expressed consistently as the time difference window throughout, and the hyphenated variants and the alternative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temporal buffer</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do not appear. This single term is used in the Abstract, Introduction, Discussion, and Conclusions to denote the additional operating time created by this timescale mismatch.</w:t>
      </w:r>
    </w:p>
    <w:p w14:paraId="096BD3C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note that we also reviewed a related naming pair in the same spirit of consistency, since the manuscript distinguishes the methodological contribution from its software implementation. The term co-simulation framework is used for the conceptual contribution (Abstract, Introduction, Discussion, Conclusions), whereas co-simulation platform is used for the computational implementation that executes the simulation (Sections 2.3 and 2.4, Fig. 2); this distinction is stated explicitly in Section 2.3, which notes that the framework is instantiated as the platform. Finally, the operational state labels are given consistently as NORMAL, WARNING, ALERT, CRITICAL, and OUTLET FAILURE, and the two resilience metrics are referred to uniformly as Service time and Service value.</w:t>
      </w:r>
    </w:p>
    <w:p w14:paraId="6551881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3. Reference list: deduplication and journal-format compliance</w:t>
      </w:r>
    </w:p>
    <w:p w14:paraId="10E2AE0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The reference list has been systematically checked against the in-text citations. The following were carried out:</w:t>
      </w:r>
    </w:p>
    <w:p w14:paraId="1FCBD45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(1) </w:t>
      </w:r>
      <w:r>
        <w:rPr>
          <w:rFonts w:hint="default" w:ascii="Times New Roman" w:hAnsi="Times New Roman" w:eastAsia="Times New Roman" w:cs="Times New Roman"/>
          <w:i w:val="0"/>
          <w:sz w:val="24"/>
          <w:szCs w:val="24"/>
        </w:rPr>
        <w:t>Deduplication</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Duplicate entries have been removed and consolidated.  Following this, the reference list contains 51 distinct entries, each cited in the body of the manuscript.</w:t>
      </w:r>
    </w:p>
    <w:p w14:paraId="19401E0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(2) </w:t>
      </w:r>
      <w:r>
        <w:rPr>
          <w:rFonts w:hint="default" w:ascii="Times New Roman" w:hAnsi="Times New Roman" w:eastAsia="Times New Roman" w:cs="Times New Roman"/>
          <w:i w:val="0"/>
          <w:sz w:val="24"/>
          <w:szCs w:val="24"/>
        </w:rPr>
        <w:t>Citation–reference correspondence</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Each in-text citation has been verified to correspond to one entry in the reference list, and each listed reference to be cited in the manuscript; no orphan citations or uncited references remain. In particular, entries referenced in the Discussion (such as Sirsant et al., 2023; Pesantez et al., 2022; Hu et al., 2023; Cemiloglu et al., 2023) and those added in support of the specific arguments (such as Mohebbi et al., 2020; Xu et al., 2020; Farmani et al., 2005; Walski et al., 2003) have been confirmed against the published source information.</w:t>
      </w:r>
    </w:p>
    <w:p w14:paraId="1D1B843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eastAsia" w:ascii="Times New Roman" w:hAnsi="Times New Roman" w:cs="Times New Roman"/>
          <w:i w:val="0"/>
          <w:sz w:val="24"/>
          <w:szCs w:val="24"/>
          <w:lang w:val="en-US" w:eastAsia="zh-CN"/>
        </w:rPr>
        <w:t xml:space="preserve">(3) </w:t>
      </w:r>
      <w:r>
        <w:rPr>
          <w:rFonts w:hint="default" w:ascii="Times New Roman" w:hAnsi="Times New Roman" w:eastAsia="Times New Roman" w:cs="Times New Roman"/>
          <w:i w:val="0"/>
          <w:sz w:val="24"/>
          <w:szCs w:val="24"/>
        </w:rPr>
        <w:t>Formatting</w:t>
      </w:r>
      <w:r>
        <w:rPr>
          <w:rFonts w:hint="eastAsia"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The references have been reformatted according to the requirements of ENGINEERING Management, with standardized author names, publication years, article titles, journal titles, volume and issue numbers, page ranges, book and proceedings details, and institutional reports. The Chinese standard is now cited as Ministry of Housing and Urban-Rural Development of China (MOHURD) (2018) with its full title and the standard number GB 50013-2018, and the WHO guideline as World Health Organization (WHO) (2022).</w:t>
      </w:r>
    </w:p>
    <w:p w14:paraId="7064C5F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These revisions have been implemented throughout the manuscript.</w:t>
      </w:r>
    </w:p>
    <w:p w14:paraId="0FCE2E0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04F3C16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3963991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362D192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0BC9B95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4886A97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5CA3B26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228E4A9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7D497774">
      <w:pPr>
        <w:keepNext w:val="0"/>
        <w:keepLines w:val="0"/>
        <w:pageBreakBefore w:val="0"/>
        <w:widowControl w:val="0"/>
        <w:kinsoku/>
        <w:wordWrap/>
        <w:overflowPunct/>
        <w:topLinePunct w:val="0"/>
        <w:autoSpaceDE/>
        <w:autoSpaceDN/>
        <w:bidi w:val="0"/>
        <w:adjustRightInd/>
        <w:snapToGrid/>
        <w:spacing w:before="157" w:beforeLines="50" w:after="157" w:afterLines="50"/>
        <w:jc w:val="center"/>
        <w:textAlignment w:val="auto"/>
        <w:rPr>
          <w:rFonts w:hint="default" w:ascii="Times New Roman" w:hAnsi="Times New Roman" w:eastAsia="等线" w:cs="Times New Roman"/>
          <w:b/>
          <w:bCs/>
          <w:i/>
          <w:iCs/>
          <w:sz w:val="28"/>
          <w:szCs w:val="28"/>
          <w:highlight w:val="none"/>
          <w:lang w:val="en-US" w:eastAsia="zh-CN"/>
        </w:rPr>
      </w:pPr>
      <w:r>
        <w:rPr>
          <w:rFonts w:hint="default" w:ascii="Times New Roman" w:hAnsi="Times New Roman" w:eastAsia="等线" w:cs="Times New Roman"/>
          <w:b/>
          <w:bCs/>
          <w:i/>
          <w:iCs/>
          <w:sz w:val="28"/>
          <w:szCs w:val="28"/>
          <w:highlight w:val="none"/>
          <w:lang w:val="en-US" w:eastAsia="zh-CN"/>
        </w:rPr>
        <w:t>Part 2: Response to Reviewer 2</w:t>
      </w:r>
    </w:p>
    <w:p w14:paraId="00887DA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thank Reviewer for the rigorous and constructive comments on our manuscript. The comments have influenced the operational definition of the early warning mechanism, the transparency and fairness of the scenario comparison, the dual-metric resilience formulation that includes unmet demand, the attribution of the time difference window, the multi-factor sensitivity analysis, and the numerical consistency of the reported results. We respond to each of the six numbered concerns in sequence below. For each point we restate the concern, describe the corresponding change in the revised manuscript, and quote the revised text where appropriate.</w:t>
      </w:r>
    </w:p>
    <w:p w14:paraId="479ADF6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Pr>
        <w:t>Comment 1: The Early Warning Mechanism as an Operational Intervention</w:t>
      </w:r>
    </w:p>
    <w:p w14:paraId="47A1EE4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7B548B6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early warning mechanism is not clearly specified as an operational intervention. Sections 2.2–2.4 mainly describe sensing, monitoring, risk classification, and the recording of state transitions. However, it is not clear what concrete action is taken once the system enters the Warning, Alert, or Critical state. Since the source interruption scenario states that the reservoir supply is lost and the tanks receive no replenishment during 24–48 h, the reported increase in RI from 0.22 to 0.84 and the higher maintained pressure cannot be explained by warning signals alone.</w:t>
      </w:r>
    </w:p>
    <w:p w14:paraId="7367E8A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3294D53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agree with the Reviewer</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s comment. The original manuscript recorded risk states and generated warning signals, but it did not specify the physical action taken on the hydraulic system once a warning state was entered; under a 24–48 h uninterrupted outage, a warning signal alone cannot change the supply. This gap has been closed by defining the EWM as an executable control law rather than a passive alarm system.</w:t>
      </w:r>
    </w:p>
    <w:p w14:paraId="595C6A8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1. The EWM is now defined as an operational intervention</w:t>
      </w:r>
    </w:p>
    <w:p w14:paraId="12E494F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eastAsia" w:ascii="Times New Roman" w:hAnsi="Times New Roman" w:eastAsia="宋体" w:cs="Times New Roman"/>
          <w:i w:val="0"/>
          <w:sz w:val="24"/>
          <w:szCs w:val="24"/>
          <w:lang w:val="en-US" w:eastAsia="zh-CN"/>
        </w:rPr>
      </w:pPr>
      <w:r>
        <w:rPr>
          <w:rFonts w:hint="default" w:ascii="Times New Roman" w:hAnsi="Times New Roman" w:eastAsia="Times New Roman" w:cs="Times New Roman"/>
          <w:i w:val="0"/>
          <w:sz w:val="24"/>
          <w:szCs w:val="24"/>
        </w:rPr>
        <w:t xml:space="preserve">Section 2.2.2,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EWM as an Operational Intervention,</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now states explicitly that each risk state is bound to a specific demand-side action that is executed at the next control step. Once the pumps are physically offline, the tank level is compared with the tiered thresholds and the demand retention multiplier γ is updated according to the trigger logic in Table 1. The curtailment is applied uniformly to the scheduled base demand of every junction through the pressure-driven hydraulic relationship</w:t>
      </w:r>
      <w:r>
        <w:rPr>
          <w:rFonts w:hint="eastAsia" w:ascii="Times New Roman" w:hAnsi="Times New Roman" w:cs="Times New Roman"/>
          <w:i w:val="0"/>
          <w:sz w:val="24"/>
          <w:szCs w:val="24"/>
          <w:lang w:val="en-US" w:eastAsia="zh-CN"/>
        </w:rPr>
        <w:t xml:space="preserve"> </w:t>
      </w:r>
      <m:oMath>
        <m:sSub>
          <m:sSubPr>
            <m:ctrlPr>
              <w:rPr>
                <w:rFonts w:ascii="Cambria Math" w:hAnsi="Cambria Math" w:cs="Times New Roman"/>
                <w:i/>
                <w:sz w:val="24"/>
                <w:szCs w:val="24"/>
                <w:lang w:val="en-US"/>
              </w:rPr>
            </m:ctrlPr>
          </m:sSubPr>
          <m:e>
            <m:r>
              <m:rPr/>
              <w:rPr>
                <w:rFonts w:hint="default" w:ascii="Cambria Math" w:hAnsi="Cambria Math" w:cs="Times New Roman"/>
                <w:sz w:val="24"/>
                <w:szCs w:val="24"/>
                <w:lang w:val="en-US" w:eastAsia="zh-CN"/>
              </w:rPr>
              <m:t>q</m:t>
            </m:r>
            <m:ctrlPr>
              <w:rPr>
                <w:rFonts w:ascii="Cambria Math" w:hAnsi="Cambria Math" w:cs="Times New Roman"/>
                <w:i/>
                <w:sz w:val="24"/>
                <w:szCs w:val="24"/>
                <w:lang w:val="en-US"/>
              </w:rPr>
            </m:ctrlPr>
          </m:e>
          <m:sub>
            <m:r>
              <m:rPr/>
              <w:rPr>
                <w:rFonts w:hint="default" w:ascii="Cambria Math" w:hAnsi="Cambria Math" w:cs="Times New Roman"/>
                <w:sz w:val="24"/>
                <w:szCs w:val="24"/>
                <w:lang w:val="en-US" w:eastAsia="zh-CN"/>
              </w:rPr>
              <m:t>j, t</m:t>
            </m:r>
            <m:ctrlPr>
              <w:rPr>
                <w:rFonts w:ascii="Cambria Math" w:hAnsi="Cambria Math" w:cs="Times New Roman"/>
                <w:i/>
                <w:sz w:val="24"/>
                <w:szCs w:val="24"/>
                <w:lang w:val="en-US"/>
              </w:rPr>
            </m:ctrlPr>
          </m:sub>
        </m:sSub>
        <m:r>
          <m:rPr/>
          <w:rPr>
            <w:rFonts w:hint="default" w:ascii="Cambria Math" w:hAnsi="Cambria Math" w:cs="Cambria Math"/>
            <w:sz w:val="24"/>
            <w:szCs w:val="24"/>
            <w:lang w:val="en-US"/>
          </w:rPr>
          <m:t>=γ∙</m:t>
        </m:r>
        <m:sSubSup>
          <m:sSubSupPr>
            <m:ctrlPr>
              <w:rPr>
                <w:rFonts w:hint="default" w:ascii="Cambria Math" w:hAnsi="Cambria Math" w:cs="Cambria Math"/>
                <w:b w:val="0"/>
                <w:i/>
                <w:sz w:val="24"/>
                <w:szCs w:val="24"/>
                <w:lang w:val="en-US"/>
              </w:rPr>
            </m:ctrlPr>
          </m:sSubSupPr>
          <m:e>
            <m:r>
              <m:rPr/>
              <w:rPr>
                <w:rFonts w:hint="default" w:ascii="Cambria Math" w:hAnsi="Cambria Math" w:cs="Cambria Math"/>
                <w:sz w:val="24"/>
                <w:szCs w:val="24"/>
                <w:lang w:val="en-US" w:eastAsia="zh-CN"/>
              </w:rPr>
              <m:t>q</m:t>
            </m:r>
            <m:ctrlPr>
              <w:rPr>
                <w:rFonts w:hint="default" w:ascii="Cambria Math" w:hAnsi="Cambria Math" w:cs="Cambria Math"/>
                <w:b w:val="0"/>
                <w:i/>
                <w:sz w:val="24"/>
                <w:szCs w:val="24"/>
                <w:lang w:val="en-US"/>
              </w:rPr>
            </m:ctrlPr>
          </m:e>
          <m:sub>
            <m:r>
              <m:rPr/>
              <w:rPr>
                <w:rFonts w:hint="default" w:ascii="Cambria Math" w:hAnsi="Cambria Math" w:cs="Cambria Math"/>
                <w:sz w:val="24"/>
                <w:szCs w:val="24"/>
                <w:lang w:val="en-US" w:eastAsia="zh-CN"/>
              </w:rPr>
              <m:t>j, t</m:t>
            </m:r>
            <m:ctrlPr>
              <w:rPr>
                <w:rFonts w:hint="default" w:ascii="Cambria Math" w:hAnsi="Cambria Math" w:cs="Cambria Math"/>
                <w:b w:val="0"/>
                <w:i/>
                <w:sz w:val="24"/>
                <w:szCs w:val="24"/>
                <w:lang w:val="en-US"/>
              </w:rPr>
            </m:ctrlPr>
          </m:sub>
          <m:sup>
            <m:r>
              <m:rPr/>
              <w:rPr>
                <w:rFonts w:hint="default" w:ascii="Cambria Math" w:hAnsi="Cambria Math" w:cs="Cambria Math"/>
                <w:sz w:val="24"/>
                <w:szCs w:val="24"/>
                <w:lang w:val="en-US" w:eastAsia="zh-CN"/>
              </w:rPr>
              <m:t>sched</m:t>
            </m:r>
            <m:ctrlPr>
              <w:rPr>
                <w:rFonts w:hint="default" w:ascii="Cambria Math" w:hAnsi="Cambria Math" w:cs="Cambria Math"/>
                <w:b w:val="0"/>
                <w:i/>
                <w:sz w:val="24"/>
                <w:szCs w:val="24"/>
                <w:lang w:val="en-US"/>
              </w:rPr>
            </m:ctrlPr>
          </m:sup>
        </m:sSubSup>
      </m:oMath>
      <w:r>
        <w:rPr>
          <w:rFonts w:hint="eastAsia" w:hAnsi="Cambria Math" w:cs="Cambria Math"/>
          <w:b w:val="0"/>
          <w:i w:val="0"/>
          <w:sz w:val="24"/>
          <w:szCs w:val="24"/>
          <w:lang w:val="en-US" w:eastAsia="zh-CN"/>
        </w:rPr>
        <w:t>.</w:t>
      </w:r>
    </w:p>
    <w:p w14:paraId="5C4F641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The intervention is therefore a physical reallocation of demand, not an alarm; it changes the delivered flow that the hydraulic solver receives at the next step, and it is this change, rather than the warning itself, that sustains pressure and postpones outlet failure.</w:t>
      </w:r>
    </w:p>
    <w:p w14:paraId="2C67B0F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2. The graded action and its hydraulic effect are made explicit</w:t>
      </w:r>
    </w:p>
    <w:p w14:paraId="5CCDC49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Table 1 now specifies the demand retention multiplier and the resulting hydraulic action for each of the five operational states. Under the baseline design D3, entry into the WARNING, ALERT, CRITICAL, and OUTLET FAILURE states is associated with retention multipliers of 0.70, 0.40, 0.20, and 0 (physical outlet closure), respectively, corresponding to level-1 to level-3 curtailment and the final isolation of the tank outlet. Each state is tied to a measurable hydraulic consequence rather than to a flag, which makes the mechanism that produces the resilience gain explicit.</w:t>
      </w:r>
    </w:p>
    <w:p w14:paraId="5DC3AAC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3. Two safeguards that define the control law</w:t>
      </w:r>
    </w:p>
    <w:p w14:paraId="4E27859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The control law is further specified by two safeguards. First, a one-way ratchet (</w:t>
      </w:r>
      <m:oMath>
        <m:sSub>
          <m:sSubPr>
            <m:ctrlPr>
              <w:rPr>
                <w:rFonts w:ascii="Cambria Math" w:hAnsi="Cambria Math" w:cs="Times New Roman"/>
                <w:i/>
                <w:sz w:val="24"/>
                <w:szCs w:val="24"/>
              </w:rPr>
            </m:ctrlPr>
          </m:sSubPr>
          <m:e>
            <m:r>
              <m:rPr/>
              <w:rPr>
                <w:rFonts w:ascii="Cambria Math" w:hAnsi="Cambria Math" w:cs="Times New Roman"/>
                <w:sz w:val="24"/>
                <w:szCs w:val="24"/>
              </w:rPr>
              <m:t>γ</m:t>
            </m:r>
            <m:ctrlPr>
              <w:rPr>
                <w:rFonts w:ascii="Cambria Math" w:hAnsi="Cambria Math" w:cs="Times New Roman"/>
                <w:i/>
                <w:sz w:val="24"/>
                <w:szCs w:val="24"/>
              </w:rPr>
            </m:ctrlPr>
          </m:e>
          <m:sub>
            <m:r>
              <m:rPr/>
              <w:rPr>
                <w:rFonts w:hint="default" w:ascii="Cambria Math" w:hAnsi="Cambria Math" w:cs="Times New Roman"/>
                <w:sz w:val="24"/>
                <w:szCs w:val="24"/>
                <w:lang w:val="en-US" w:eastAsia="zh-CN"/>
              </w:rPr>
              <m:t>t</m:t>
            </m:r>
            <m:ctrlPr>
              <w:rPr>
                <w:rFonts w:ascii="Cambria Math" w:hAnsi="Cambria Math" w:cs="Times New Roman"/>
                <w:i/>
                <w:sz w:val="24"/>
                <w:szCs w:val="24"/>
              </w:rPr>
            </m:ctrlPr>
          </m:sub>
        </m:sSub>
        <m:r>
          <m:rPr/>
          <w:rPr>
            <w:rFonts w:hint="default" w:ascii="Cambria Math" w:hAnsi="Cambria Math" w:cs="Cambria Math"/>
            <w:sz w:val="24"/>
            <w:szCs w:val="24"/>
          </w:rPr>
          <m:t>≤</m:t>
        </m:r>
        <m:sSub>
          <m:sSubPr>
            <m:ctrlPr>
              <w:rPr>
                <w:rFonts w:hint="default" w:ascii="Cambria Math" w:hAnsi="Cambria Math" w:cs="Cambria Math"/>
                <w:i/>
                <w:sz w:val="24"/>
                <w:szCs w:val="24"/>
              </w:rPr>
            </m:ctrlPr>
          </m:sSubPr>
          <m:e>
            <m:r>
              <m:rPr/>
              <w:rPr>
                <w:rFonts w:ascii="Cambria Math" w:hAnsi="Cambria Math" w:cs="Cambria Math"/>
                <w:sz w:val="24"/>
                <w:szCs w:val="24"/>
              </w:rPr>
              <m:t>γ</m:t>
            </m:r>
            <m:ctrlPr>
              <w:rPr>
                <w:rFonts w:hint="default" w:ascii="Cambria Math" w:hAnsi="Cambria Math" w:cs="Cambria Math"/>
                <w:i/>
                <w:sz w:val="24"/>
                <w:szCs w:val="24"/>
              </w:rPr>
            </m:ctrlPr>
          </m:e>
          <m:sub>
            <m:r>
              <m:rPr/>
              <w:rPr>
                <w:rFonts w:hint="default" w:ascii="Cambria Math" w:hAnsi="Cambria Math" w:cs="Cambria Math"/>
                <w:sz w:val="24"/>
                <w:szCs w:val="24"/>
                <w:lang w:val="en-US" w:eastAsia="zh-CN"/>
              </w:rPr>
              <m:t>t</m:t>
            </m:r>
            <m:r>
              <m:rPr/>
              <w:rPr>
                <w:rFonts w:ascii="Cambria Math" w:hAnsi="Cambria Math" w:cs="Cambria Math"/>
                <w:sz w:val="24"/>
                <w:szCs w:val="24"/>
                <w:lang w:val="en-US"/>
              </w:rPr>
              <m:t>−</m:t>
            </m:r>
            <m:r>
              <m:rPr/>
              <w:rPr>
                <w:rFonts w:hint="default" w:ascii="Cambria Math" w:hAnsi="Cambria Math" w:cs="Cambria Math"/>
                <w:sz w:val="24"/>
                <w:szCs w:val="24"/>
                <w:lang w:val="en-US" w:eastAsia="zh-CN"/>
              </w:rPr>
              <m:t>1</m:t>
            </m:r>
            <m:ctrlPr>
              <w:rPr>
                <w:rFonts w:hint="default" w:ascii="Cambria Math" w:hAnsi="Cambria Math" w:cs="Cambria Math"/>
                <w:i/>
                <w:sz w:val="24"/>
                <w:szCs w:val="24"/>
              </w:rPr>
            </m:ctrlPr>
          </m:sub>
        </m:sSub>
      </m:oMath>
      <w:r>
        <w:rPr>
          <w:rFonts w:hint="eastAsia" w:hAnsi="Cambria Math" w:cs="Cambria Math"/>
          <w:i w:val="0"/>
          <w:sz w:val="24"/>
          <w:szCs w:val="24"/>
          <w:highlight w:val="none"/>
          <w:lang w:val="en-US" w:eastAsia="zh-CN"/>
        </w:rPr>
        <w:t xml:space="preserve"> </w:t>
      </w:r>
      <w:r>
        <w:rPr>
          <w:rFonts w:hint="default" w:ascii="Times New Roman" w:hAnsi="Times New Roman" w:eastAsia="Times New Roman" w:cs="Times New Roman"/>
          <w:i w:val="0"/>
          <w:sz w:val="24"/>
          <w:szCs w:val="24"/>
          <w:highlight w:val="none"/>
        </w:rPr>
        <w:t>within the fault window</w:t>
      </w:r>
      <w:r>
        <w:rPr>
          <w:rFonts w:hint="default" w:ascii="Times New Roman" w:hAnsi="Times New Roman" w:eastAsia="Times New Roman" w:cs="Times New Roman"/>
          <w:i w:val="0"/>
          <w:sz w:val="24"/>
          <w:szCs w:val="24"/>
        </w:rPr>
        <w:t xml:space="preserve">) prevents control chattering: escalation is immediate, and downgrade occurs only when the fault ends at </w:t>
      </w:r>
      <w:r>
        <w:rPr>
          <w:rFonts w:hint="default" w:ascii="Times New Roman" w:hAnsi="Times New Roman" w:eastAsia="Times New Roman" w:cs="Times New Roman"/>
          <w:i/>
          <w:iCs/>
          <w:sz w:val="24"/>
          <w:szCs w:val="24"/>
        </w:rPr>
        <w:t>t</w:t>
      </w:r>
      <w:r>
        <w:rPr>
          <w:rFonts w:hint="eastAsia" w:ascii="Times New Roman" w:hAnsi="Times New Roman" w:cs="Times New Roman"/>
          <w:i w:val="0"/>
          <w:sz w:val="24"/>
          <w:szCs w:val="24"/>
          <w:lang w:val="en-US" w:eastAsia="zh-CN"/>
        </w:rPr>
        <w:t xml:space="preserve"> </w:t>
      </w:r>
      <w:r>
        <w:rPr>
          <w:rFonts w:hint="default" w:ascii="Times New Roman" w:hAnsi="Times New Roman" w:eastAsia="Times New Roman" w:cs="Times New Roman"/>
          <w:i w:val="0"/>
          <w:sz w:val="24"/>
          <w:szCs w:val="24"/>
        </w:rPr>
        <w:t>=</w:t>
      </w:r>
      <w:r>
        <w:rPr>
          <w:rFonts w:hint="eastAsia" w:ascii="Times New Roman" w:hAnsi="Times New Roman" w:cs="Times New Roman"/>
          <w:i w:val="0"/>
          <w:sz w:val="24"/>
          <w:szCs w:val="24"/>
          <w:lang w:val="en-US" w:eastAsia="zh-CN"/>
        </w:rPr>
        <w:t xml:space="preserve"> </w:t>
      </w:r>
      <w:r>
        <w:rPr>
          <w:rFonts w:hint="default" w:ascii="Times New Roman" w:hAnsi="Times New Roman" w:eastAsia="Times New Roman" w:cs="Times New Roman"/>
          <w:i w:val="0"/>
          <w:sz w:val="24"/>
          <w:szCs w:val="24"/>
        </w:rPr>
        <w:t xml:space="preserve">48 h, at which time demands recover to 100%. Second, the local PLC logic is retained; under normal pumping the PLC refills the tanks by hysteresis, with pump activation at </w:t>
      </w:r>
      <w:r>
        <w:rPr>
          <w:rFonts w:hint="default" w:ascii="Times New Roman" w:hAnsi="Times New Roman" w:eastAsia="Times New Roman" w:cs="Times New Roman"/>
          <w:i/>
          <w:iCs/>
          <w:sz w:val="24"/>
          <w:szCs w:val="24"/>
        </w:rPr>
        <w:t>H</w:t>
      </w:r>
      <w:r>
        <w:rPr>
          <w:rFonts w:hint="eastAsia" w:ascii="Times New Roman" w:hAnsi="Times New Roman" w:cs="Times New Roman"/>
          <w:i w:val="0"/>
          <w:sz w:val="24"/>
          <w:szCs w:val="24"/>
          <w:lang w:val="en-US" w:eastAsia="zh-CN"/>
        </w:rPr>
        <w:t xml:space="preserve"> </w:t>
      </w:r>
      <w:r>
        <w:rPr>
          <w:rFonts w:hint="default" w:ascii="Times New Roman" w:hAnsi="Times New Roman" w:eastAsia="Times New Roman" w:cs="Times New Roman"/>
          <w:i w:val="0"/>
          <w:sz w:val="24"/>
          <w:szCs w:val="24"/>
        </w:rPr>
        <w:t>≤</w:t>
      </w:r>
      <w:r>
        <w:rPr>
          <w:rFonts w:hint="eastAsia" w:ascii="Times New Roman" w:hAnsi="Times New Roman" w:cs="Times New Roman"/>
          <w:i w:val="0"/>
          <w:sz w:val="24"/>
          <w:szCs w:val="24"/>
          <w:lang w:val="en-US" w:eastAsia="zh-CN"/>
        </w:rPr>
        <w:t xml:space="preserve"> </w:t>
      </w:r>
      <w:r>
        <w:rPr>
          <w:rFonts w:hint="default" w:ascii="Times New Roman" w:hAnsi="Times New Roman" w:eastAsia="Times New Roman" w:cs="Times New Roman"/>
          <w:i w:val="0"/>
          <w:sz w:val="24"/>
          <w:szCs w:val="24"/>
        </w:rPr>
        <w:t xml:space="preserve">5.0 m and shutdown at </w:t>
      </w:r>
      <w:r>
        <w:rPr>
          <w:rFonts w:hint="default" w:ascii="Times New Roman" w:hAnsi="Times New Roman" w:eastAsia="Times New Roman" w:cs="Times New Roman"/>
          <w:i/>
          <w:iCs/>
          <w:sz w:val="24"/>
          <w:szCs w:val="24"/>
        </w:rPr>
        <w:t>H</w:t>
      </w:r>
      <w:r>
        <w:rPr>
          <w:rFonts w:hint="eastAsia" w:ascii="Times New Roman" w:hAnsi="Times New Roman" w:cs="Times New Roman"/>
          <w:i w:val="0"/>
          <w:sz w:val="24"/>
          <w:szCs w:val="24"/>
          <w:lang w:val="en-US" w:eastAsia="zh-CN"/>
        </w:rPr>
        <w:t xml:space="preserve"> </w:t>
      </w:r>
      <w:r>
        <w:rPr>
          <w:rFonts w:hint="default" w:ascii="Times New Roman" w:hAnsi="Times New Roman" w:eastAsia="Times New Roman" w:cs="Times New Roman"/>
          <w:i w:val="0"/>
          <w:sz w:val="24"/>
          <w:szCs w:val="24"/>
        </w:rPr>
        <w:t>≥</w:t>
      </w:r>
      <w:r>
        <w:rPr>
          <w:rFonts w:hint="eastAsia" w:ascii="Times New Roman" w:hAnsi="Times New Roman" w:cs="Times New Roman"/>
          <w:i w:val="0"/>
          <w:sz w:val="24"/>
          <w:szCs w:val="24"/>
          <w:lang w:val="en-US" w:eastAsia="zh-CN"/>
        </w:rPr>
        <w:t xml:space="preserve"> </w:t>
      </w:r>
      <w:r>
        <w:rPr>
          <w:rFonts w:hint="default" w:ascii="Times New Roman" w:hAnsi="Times New Roman" w:eastAsia="Times New Roman" w:cs="Times New Roman"/>
          <w:i w:val="0"/>
          <w:sz w:val="24"/>
          <w:szCs w:val="24"/>
        </w:rPr>
        <w:t>8.0 m, and demand-side management is initiated only after a confirmed pump trip, so routine level fluctuations never trigger curtailment.</w:t>
      </w:r>
    </w:p>
    <w:p w14:paraId="6EF273B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4. The comparative cases are separated by exactly one controlled variable</w:t>
      </w:r>
    </w:p>
    <w:p w14:paraId="1EE3CBC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highlight w:val="yellow"/>
        </w:rPr>
      </w:pPr>
      <w:r>
        <w:rPr>
          <w:rFonts w:hint="default" w:ascii="Times New Roman" w:hAnsi="Times New Roman" w:eastAsia="Times New Roman" w:cs="Times New Roman"/>
          <w:i w:val="0"/>
          <w:sz w:val="24"/>
          <w:szCs w:val="24"/>
        </w:rPr>
        <w:t xml:space="preserve">The relationship between the two cases is stated in Section 2.2.5, which we address in detail under Comment 2. The baseline case keeps </w:t>
      </w:r>
      <m:oMath>
        <m:r>
          <m:rPr/>
          <w:rPr>
            <w:rFonts w:ascii="Cambria Math" w:hAnsi="Cambria Math" w:cs="Times New Roman"/>
            <w:sz w:val="24"/>
            <w:szCs w:val="24"/>
          </w:rPr>
          <m:t>γ</m:t>
        </m:r>
        <m:r>
          <m:rPr/>
          <w:rPr>
            <w:rFonts w:hint="default" w:ascii="Cambria Math" w:hAnsi="Cambria Math" w:cs="Cambria Math"/>
            <w:sz w:val="24"/>
            <w:szCs w:val="24"/>
          </w:rPr>
          <m:t>=</m:t>
        </m:r>
        <m:r>
          <m:rPr/>
          <w:rPr>
            <w:rFonts w:hint="default" w:ascii="Cambria Math" w:hAnsi="Cambria Math" w:cs="Times New Roman"/>
            <w:sz w:val="24"/>
            <w:szCs w:val="24"/>
            <w:lang w:val="en-US" w:eastAsia="zh-CN"/>
          </w:rPr>
          <m:t>1</m:t>
        </m:r>
      </m:oMath>
      <w:r>
        <w:rPr>
          <w:rFonts w:hint="default" w:ascii="Times New Roman" w:hAnsi="Times New Roman" w:eastAsia="Times New Roman" w:cs="Times New Roman"/>
          <w:i w:val="0"/>
          <w:sz w:val="24"/>
          <w:szCs w:val="24"/>
        </w:rPr>
        <w:t xml:space="preserve">, whereas the EWM case applies the state-dependent schedule of Table 1; all other hydraulic and control rules are identical. </w:t>
      </w:r>
    </w:p>
    <w:p w14:paraId="2D990D4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Pr>
        <w:t>Comment 2: Transparency and Fairness of the No EWM versus EWM Comparison</w:t>
      </w:r>
    </w:p>
    <w:p w14:paraId="7793617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05813BE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comparison between the “Without EWM” and “With EWM” cases appears insufficiently transparent. In Fig. 5, the pressure curve without EWM drops abruptly to zero, whereas the curve with EWM remains relatively stable for a much longer period. This raises the concern that the two cases may not have been evaluated using the same hydraulic or performance-assignment rule. If the baseline is partly treated as a binary failure while the EWM case is treated as a gradual degradation process, the comparison would overstate the contribution of EWM.</w:t>
      </w:r>
    </w:p>
    <w:p w14:paraId="79DFEC9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40464D6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agree with the Reviewer that a causal comparison is valid only if both cases are evaluated under identical hydraulic and performance-assignment rules. The concern that the baseline might have been treated as a binary failure while the EWM case was treated as a gradual degradation process is legitimate, and the revision addresses it directly in four ways: the evaluation conditions are now itemized in a dedicated fairness-control subsection; the abrupt baseline collapse is shown to be an emergent property of the pressure-driven solution rather than an imposed failure rule; the EWM case is shown to undergo the same abrupt collapse under the same rule, only later; and two independent audits exclude artificial gains from the comparison.</w:t>
      </w:r>
    </w:p>
    <w:p w14:paraId="5395122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 xml:space="preserve">1. Identical evaluation conditions </w:t>
      </w:r>
    </w:p>
    <w:p w14:paraId="4054571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The fairness statement, previously embedded in the experimental design description, has been elevated to a dedicated subsection, Section 2.2.5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Fairness Control,</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which itemizes the conditions held identical in the two cases: the same WNTR and EPANET 2.2 solver in pressure-driven analysis (PDA) mode, the same topology, roughness, elevations, and initial levels (3.051 m), the same timestep (Δ</w:t>
      </w:r>
      <w:r>
        <w:rPr>
          <w:rFonts w:hint="default" w:ascii="Times New Roman" w:hAnsi="Times New Roman" w:cs="Times New Roman"/>
          <w:i w:val="0"/>
          <w:sz w:val="24"/>
          <w:szCs w:val="24"/>
          <w:lang w:val="en-US" w:eastAsia="zh-CN"/>
        </w:rPr>
        <w:t xml:space="preserve"> </w:t>
      </w:r>
      <w:r>
        <w:rPr>
          <w:rFonts w:hint="default" w:ascii="Times New Roman" w:hAnsi="Times New Roman" w:eastAsia="Times New Roman" w:cs="Times New Roman"/>
          <w:i/>
          <w:iCs/>
          <w:sz w:val="24"/>
          <w:szCs w:val="24"/>
        </w:rPr>
        <w:t>t</w:t>
      </w:r>
      <w:r>
        <w:rPr>
          <w:rFonts w:hint="default" w:ascii="Times New Roman" w:hAnsi="Times New Roman" w:eastAsia="Times New Roman" w:cs="Times New Roman"/>
          <w:i w:val="0"/>
          <w:sz w:val="24"/>
          <w:szCs w:val="24"/>
        </w:rPr>
        <w:t xml:space="preserve"> = 300 s), the same disruption window (24 to 48 h), the same outlet closure rule (closure below 0.5 m), and the same baseline system head (51.95 m, approximately 0.51 MPa). The single controlled variable is the demand multiplier: </w:t>
      </w:r>
      <m:oMath>
        <m:r>
          <m:rPr/>
          <w:rPr>
            <w:rFonts w:ascii="Cambria Math" w:hAnsi="Cambria Math" w:cs="Times New Roman"/>
            <w:sz w:val="24"/>
            <w:szCs w:val="24"/>
          </w:rPr>
          <m:t>γ</m:t>
        </m:r>
        <m:r>
          <m:rPr/>
          <w:rPr>
            <w:rFonts w:hint="default" w:ascii="Cambria Math" w:hAnsi="Cambria Math" w:cs="Cambria Math"/>
            <w:sz w:val="24"/>
            <w:szCs w:val="24"/>
          </w:rPr>
          <m:t>=</m:t>
        </m:r>
        <m:r>
          <m:rPr/>
          <w:rPr>
            <w:rFonts w:hint="default" w:ascii="Cambria Math" w:hAnsi="Cambria Math" w:cs="Times New Roman"/>
            <w:sz w:val="24"/>
            <w:szCs w:val="24"/>
            <w:lang w:val="en-US" w:eastAsia="zh-CN"/>
          </w:rPr>
          <m:t>1</m:t>
        </m:r>
      </m:oMath>
      <w:r>
        <w:rPr>
          <w:rFonts w:hint="default" w:ascii="Times New Roman" w:hAnsi="Times New Roman" w:eastAsia="Times New Roman" w:cs="Times New Roman"/>
          <w:i w:val="0"/>
          <w:sz w:val="24"/>
          <w:szCs w:val="24"/>
        </w:rPr>
        <w:t xml:space="preserve"> in the baseline, compared with the state-dependent schedule of Table 1 in the EWM case. The performance-assignment rule is likewise common to both cases: both are scored by the same dual metrics of Section 2.4, computed by the same procedure from the same time-synchronized database.</w:t>
      </w:r>
    </w:p>
    <w:p w14:paraId="72EA492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 xml:space="preserve">2. The abrupt baseline collapse is emergent, not an imposed binary failure rule </w:t>
      </w:r>
    </w:p>
    <w:p w14:paraId="0A86AEC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Section 2.2.5 now states explicitly that the abrupt baseline pressure collapse is not an imposed binary failure rule but emerges from the PDA solution under unrestricted full demand once the tanks are isolated, and that "the same rule applies to the EWM case." Section 3.1 documents the mechanism: under unrestricted demand, both tanks drain in parallel and close their outlets at the 0.5 m isolation level at 30.17 h; upon outlet closure the network average pressure falls from 0.44 MPa to 0.00 MPa within one 300 s step, and every junction crosses the 0.10 MPa threshold at 30.25 h. No spatial sequence of failure exists, because the whole network is fed by the same two tanks. The abruptness is therefore a physical property of gravity-fed drainage at storage exhaustion, not a modeling switch applied to the baseline only.</w:t>
      </w:r>
    </w:p>
    <w:p w14:paraId="421EDF2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3. The EWM case undergoes the same abrupt collapse under the same rule</w:t>
      </w:r>
    </w:p>
    <w:p w14:paraId="34F4A4A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The revised results make explicit that the EWM case is not evaluated as a gradual degradation process. Under the identical PDA solver and the identical 0.5 m outlet closure rule, the EWM case also isolates its tank outlets and collapses within a single control step: outlet failure occurs at 34.33 h instead of 30.17 h, all junctions remain above the threshold until 34.42 h, and the network-wide pressure collapse is consequently delayed by the same 4.1</w:t>
      </w:r>
      <w:r>
        <w:rPr>
          <w:rFonts w:hint="eastAsia" w:ascii="Times New Roman" w:hAnsi="Times New Roman" w:cs="Times New Roman"/>
          <w:i w:val="0"/>
          <w:sz w:val="24"/>
          <w:szCs w:val="24"/>
          <w:lang w:val="en-US" w:eastAsia="zh-CN"/>
        </w:rPr>
        <w:t>6</w:t>
      </w:r>
      <w:r>
        <w:rPr>
          <w:rFonts w:hint="default" w:ascii="Times New Roman" w:hAnsi="Times New Roman" w:eastAsia="Times New Roman" w:cs="Times New Roman"/>
          <w:i w:val="0"/>
          <w:sz w:val="24"/>
          <w:szCs w:val="24"/>
        </w:rPr>
        <w:t xml:space="preserve"> h interval. Both trajectories therefore share the same shape, namely gradual degradation while storage drains followed by a one-step collapse at isolation; the intervention changes when the collapse occurs, not the rule that produces it. The presentation has also been unified: the pressure evolution of the two cases, previously overlaid as average-pressure curves in the former Fig. 5, is now shown in the same per-junction nodal pressure-map format in Fig. 3(c) (No EWM) and Fig. 4(d) (EWM), with the white dashed contour marking the 0.10 MPa emergency threshold (Fig. 3(c)), and the new Fig. 5 reports the dual metrics computed under the identical rule for both cases.</w:t>
      </w:r>
    </w:p>
    <w:p w14:paraId="5371263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4. Two independent audits exclude artificial gains</w:t>
      </w:r>
    </w:p>
    <w:p w14:paraId="67F8276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First, the mass balance audit of the co-simulation platform (Section 2.3) shows that the ratio of delivered volume to storage depletion remains at </w:t>
      </w:r>
      <m:oMath>
        <m:r>
          <m:rPr>
            <m:nor/>
          </m:rPr>
          <w:rPr>
            <w:rFonts w:hint="default" w:ascii="Times New Roman" w:hAnsi="Times New Roman" w:cs="Times New Roman"/>
            <w:i/>
            <w:iCs/>
            <w:color w:val="auto"/>
            <w:sz w:val="24"/>
            <w:highlight w:val="none"/>
          </w:rPr>
          <m:t>η</m:t>
        </m:r>
        <m:r>
          <m:rPr>
            <m:nor/>
            <m:sty m:val="p"/>
          </m:rPr>
          <w:rPr>
            <w:rFonts w:hint="default" w:ascii="Times New Roman" w:hAnsi="Times New Roman" w:cs="Times New Roman"/>
            <w:b w:val="0"/>
            <w:i w:val="0"/>
            <w:color w:val="auto"/>
            <w:sz w:val="24"/>
            <w:highlight w:val="none"/>
            <w:lang w:val="en-US" w:eastAsia="zh-CN"/>
          </w:rPr>
          <m:t xml:space="preserve"> </m:t>
        </m:r>
        <m:r>
          <m:rPr>
            <m:nor/>
            <m:sty m:val="p"/>
          </m:rPr>
          <w:rPr>
            <w:rFonts w:hint="default" w:ascii="Times New Roman" w:hAnsi="Times New Roman" w:cs="Times New Roman"/>
            <w:b w:val="0"/>
            <w:i w:val="0"/>
            <w:color w:val="auto"/>
            <w:sz w:val="24"/>
            <w:highlight w:val="none"/>
          </w:rPr>
          <m:t>=</m:t>
        </m:r>
        <m:r>
          <m:rPr>
            <m:nor/>
            <m:sty m:val="p"/>
          </m:rPr>
          <w:rPr>
            <w:rFonts w:hint="default" w:ascii="Times New Roman" w:hAnsi="Times New Roman" w:cs="Times New Roman"/>
            <w:b w:val="0"/>
            <w:i w:val="0"/>
            <w:color w:val="auto"/>
            <w:sz w:val="24"/>
            <w:highlight w:val="none"/>
            <w:lang w:val="en-US" w:eastAsia="zh-CN"/>
          </w:rPr>
          <m:t xml:space="preserve"> 1.0</m:t>
        </m:r>
      </m:oMath>
      <w:r>
        <w:rPr>
          <w:rFonts w:hint="default" w:ascii="Times New Roman" w:hAnsi="Times New Roman" w:eastAsia="Times New Roman" w:cs="Times New Roman"/>
          <w:i w:val="0"/>
          <w:sz w:val="24"/>
          <w:szCs w:val="24"/>
        </w:rPr>
        <w:t xml:space="preserve"> across runs, which confirms that the coupling introduces no artificial gains in water volume. Second, the volumetric audit of the canonical scenario (Section 3.3) shows that total delivered volume is nearly unchanged between the cases, at 1,095.2 m³ (No EWM) and 1,088.3 m³ (EWM), a difference of 0.6%. If the baseline had been penalized by a binary failure rule while the EWM case had been evaluated under a gentler performance assignment, the total delivered volume could not remain nearly constant. The comparison instead attributes the gain to a 4.1</w:t>
      </w:r>
      <w:r>
        <w:rPr>
          <w:rFonts w:hint="eastAsia" w:ascii="Times New Roman" w:hAnsi="Times New Roman" w:cs="Times New Roman"/>
          <w:i w:val="0"/>
          <w:sz w:val="24"/>
          <w:szCs w:val="24"/>
          <w:lang w:val="en-US" w:eastAsia="zh-CN"/>
        </w:rPr>
        <w:t>6</w:t>
      </w:r>
      <w:r>
        <w:rPr>
          <w:rFonts w:hint="default" w:ascii="Times New Roman" w:hAnsi="Times New Roman" w:eastAsia="Times New Roman" w:cs="Times New Roman"/>
          <w:i w:val="0"/>
          <w:sz w:val="24"/>
          <w:szCs w:val="24"/>
        </w:rPr>
        <w:t xml:space="preserve"> h postponement of outlet failure and to the redistribution of a nearly fixed volume toward high-value demand blocks, with the physically unserved volume after outlet failure decreasing from 5,295.3 to 3,947.3 m³. Finally, the Service value metric is constructed so that demand suppression cannot inflate it: the storage value ceiling </w:t>
      </w:r>
      <m:oMath>
        <m:r>
          <m:rPr/>
          <w:rPr>
            <w:rFonts w:hint="default" w:ascii="Cambria Math" w:hAnsi="Cambria Math" w:cs="Cambria Math"/>
            <w:color w:val="auto"/>
            <w:sz w:val="24"/>
            <w:szCs w:val="24"/>
            <w:lang w:val="en-US" w:eastAsia="zh-CN"/>
          </w:rPr>
          <m:t>S</m:t>
        </m:r>
        <m:r>
          <m:rPr/>
          <w:rPr>
            <w:rFonts w:ascii="Cambria Math" w:hAnsi="Cambria Math" w:cs="Cambria Math"/>
            <w:color w:val="auto"/>
            <w:sz w:val="24"/>
            <w:szCs w:val="24"/>
            <w:lang w:val="en-US"/>
          </w:rPr>
          <m:t>∙</m:t>
        </m:r>
        <m:sSub>
          <m:sSubPr>
            <m:ctrlPr>
              <w:rPr>
                <w:rFonts w:ascii="Cambria Math" w:hAnsi="Cambria Math" w:cs="Cambria Math"/>
                <w:bCs w:val="0"/>
                <w:i/>
                <w:color w:val="auto"/>
                <w:sz w:val="24"/>
                <w:szCs w:val="24"/>
                <w:lang w:val="en-US"/>
              </w:rPr>
            </m:ctrlPr>
          </m:sSubPr>
          <m:e>
            <m:r>
              <m:rPr/>
              <w:rPr>
                <w:rFonts w:ascii="Cambria Math" w:hAnsi="Cambria Math" w:cs="Cambria Math"/>
                <w:color w:val="auto"/>
                <w:sz w:val="24"/>
                <w:szCs w:val="24"/>
                <w:lang w:val="en-US"/>
              </w:rPr>
              <m:t>α</m:t>
            </m:r>
            <m:ctrlPr>
              <w:rPr>
                <w:rFonts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max</m:t>
            </m:r>
            <m:ctrlPr>
              <w:rPr>
                <w:rFonts w:ascii="Cambria Math" w:hAnsi="Cambria Math" w:cs="Cambria Math"/>
                <w:bCs w:val="0"/>
                <w:i/>
                <w:color w:val="auto"/>
                <w:sz w:val="24"/>
                <w:szCs w:val="24"/>
                <w:lang w:val="en-US"/>
              </w:rPr>
            </m:ctrlPr>
          </m:sub>
        </m:sSub>
      </m:oMath>
      <w:r>
        <w:rPr>
          <w:rFonts w:hint="default" w:ascii="Times New Roman" w:hAnsi="Times New Roman" w:eastAsia="Times New Roman" w:cs="Times New Roman"/>
          <w:i w:val="0"/>
          <w:sz w:val="24"/>
          <w:szCs w:val="24"/>
        </w:rPr>
        <w:t xml:space="preserve"> is physical and scenario adaptive, and curtailing demand only removes volume from the numerator (Section 2.4.2). The reported contribution of the EWM therefore cannot be overstated by the design of the comparison or of the metrics.</w:t>
      </w:r>
    </w:p>
    <w:p w14:paraId="4886A94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Pr>
        <w:t>Comment 3: Definition of Performance Function and Unmet Demand Metrics</w:t>
      </w:r>
    </w:p>
    <w:p w14:paraId="4C85DC0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264853D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performance function used to calculate the resilience index is not sufficiently defined. Section 2.5 describes $P(t)$ in qualitative terms, and the results appear to rely mainly on pressure. However, in a source-interruption scenario, maintaining pressure may be achieved by reducing outflow or curtailing demand. If unmet demand is not included in the performance metric, the RI may reflect preserved pressure rather than actual delivered water service.</w:t>
      </w:r>
    </w:p>
    <w:p w14:paraId="3138239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7AA30D4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fully agree with the Reviewer</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s comment. In the original manuscript, the system performance function </w:t>
      </w:r>
      <w:r>
        <w:rPr>
          <w:rFonts w:hint="default" w:ascii="Times New Roman" w:hAnsi="Times New Roman" w:eastAsia="Times New Roman" w:cs="Times New Roman"/>
          <w:i/>
          <w:iCs/>
          <w:sz w:val="24"/>
          <w:szCs w:val="24"/>
        </w:rPr>
        <w:t>P</w:t>
      </w:r>
      <w:r>
        <w:rPr>
          <w:rFonts w:hint="default" w:ascii="Times New Roman" w:hAnsi="Times New Roman" w:eastAsia="Times New Roman" w:cs="Times New Roman"/>
          <w:i w:val="0"/>
          <w:sz w:val="24"/>
          <w:szCs w:val="24"/>
        </w:rPr>
        <w:t>(</w:t>
      </w:r>
      <w:r>
        <w:rPr>
          <w:rFonts w:hint="default" w:ascii="Times New Roman" w:hAnsi="Times New Roman" w:eastAsia="Times New Roman" w:cs="Times New Roman"/>
          <w:i/>
          <w:iCs/>
          <w:sz w:val="24"/>
          <w:szCs w:val="24"/>
        </w:rPr>
        <w:t>t</w:t>
      </w:r>
      <w:r>
        <w:rPr>
          <w:rFonts w:hint="default" w:ascii="Times New Roman" w:hAnsi="Times New Roman" w:eastAsia="Times New Roman" w:cs="Times New Roman"/>
          <w:i w:val="0"/>
          <w:sz w:val="24"/>
          <w:szCs w:val="24"/>
        </w:rPr>
        <w:t>) was described only qualitatively in Section 2.5, the reported index relied mainly on pressure, and unmet demand was not part of the metric. As the Reviewer notes, a pressure-only index can record an apparent improvement that is produced simply by not delivering water. The revision removes this weakness by replacing the single qualitative index with a dual metric framework in which delivered water service and unmet demand are explicit, quantitative, and auditable.</w:t>
      </w:r>
    </w:p>
    <w:p w14:paraId="6AFFD7E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1. The qualitative performance function has been replaced by two explicitly defined metrics</w:t>
      </w:r>
    </w:p>
    <w:p w14:paraId="78FA54A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宋体" w:cs="Times New Roman"/>
          <w:i w:val="0"/>
          <w:sz w:val="24"/>
          <w:szCs w:val="24"/>
          <w:lang w:val="en-US" w:eastAsia="zh-CN"/>
        </w:rPr>
      </w:pPr>
      <w:r>
        <w:rPr>
          <w:rFonts w:hint="default" w:ascii="Times New Roman" w:hAnsi="Times New Roman" w:eastAsia="Times New Roman" w:cs="Times New Roman"/>
          <w:i w:val="0"/>
          <w:sz w:val="24"/>
          <w:szCs w:val="24"/>
        </w:rPr>
        <w:t xml:space="preserve">Section 2.4, </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Resilience Evaluation Metrics,</w:t>
      </w:r>
      <w:r>
        <w:rPr>
          <w:rFonts w:hint="default" w:ascii="Times New Roman" w:hAnsi="Times New Roman" w:cs="Times New Roman"/>
          <w:i w:val="0"/>
          <w:sz w:val="24"/>
          <w:szCs w:val="24"/>
          <w:lang w:val="en-US" w:eastAsia="zh-CN"/>
        </w:rPr>
        <w:t>”</w:t>
      </w:r>
      <w:r>
        <w:rPr>
          <w:rFonts w:hint="default" w:ascii="Times New Roman" w:hAnsi="Times New Roman" w:eastAsia="Times New Roman" w:cs="Times New Roman"/>
          <w:i w:val="0"/>
          <w:sz w:val="24"/>
          <w:szCs w:val="24"/>
        </w:rPr>
        <w:t xml:space="preserve"> now adopts a minimal dual metric framework adopted "to distinguish pressure maintenance from actual water delivery," consisting of Service time (Tpress, temporal dimension) and Service value (Rw, value dimension). Service time quantifies pressure compliance,</w:t>
      </w:r>
      <w:r>
        <w:rPr>
          <w:rFonts w:hint="eastAsia" w:ascii="Times New Roman" w:hAnsi="Times New Roman" w:cs="Times New Roman"/>
          <w:i w:val="0"/>
          <w:sz w:val="24"/>
          <w:szCs w:val="24"/>
          <w:lang w:val="en-US" w:eastAsia="zh-CN"/>
        </w:rPr>
        <w:t xml:space="preserve"> </w:t>
      </w:r>
      <m:oMath>
        <m:sSub>
          <m:sSubPr>
            <m:ctrlPr>
              <w:rPr>
                <w:rFonts w:ascii="Cambria Math" w:hAnsi="Cambria Math" w:cs="Times New Roman"/>
                <w:bCs w:val="0"/>
                <w:i/>
                <w:color w:val="auto"/>
                <w:sz w:val="24"/>
                <w:szCs w:val="24"/>
                <w:lang w:val="en-US"/>
              </w:rPr>
            </m:ctrlPr>
          </m:sSubPr>
          <m:e>
            <m:r>
              <m:rPr/>
              <w:rPr>
                <w:rFonts w:hint="default" w:ascii="Cambria Math" w:hAnsi="Cambria Math" w:cs="Times New Roman"/>
                <w:color w:val="auto"/>
                <w:sz w:val="24"/>
                <w:szCs w:val="24"/>
                <w:lang w:val="en-US" w:eastAsia="zh-CN"/>
              </w:rPr>
              <m:t>T</m:t>
            </m:r>
            <m:ctrlPr>
              <w:rPr>
                <w:rFonts w:ascii="Cambria Math" w:hAnsi="Cambria Math" w:cs="Times New Roman"/>
                <w:bCs w:val="0"/>
                <w:i/>
                <w:color w:val="auto"/>
                <w:sz w:val="24"/>
                <w:szCs w:val="24"/>
                <w:lang w:val="en-US"/>
              </w:rPr>
            </m:ctrlPr>
          </m:e>
          <m:sub>
            <m:r>
              <m:rPr/>
              <w:rPr>
                <w:rFonts w:hint="default" w:ascii="Cambria Math" w:hAnsi="Cambria Math" w:cs="Times New Roman"/>
                <w:color w:val="auto"/>
                <w:sz w:val="24"/>
                <w:szCs w:val="24"/>
                <w:lang w:val="en-US" w:eastAsia="zh-CN"/>
              </w:rPr>
              <m:t>press</m:t>
            </m:r>
            <m:ctrlPr>
              <w:rPr>
                <w:rFonts w:ascii="Cambria Math" w:hAnsi="Cambria Math" w:cs="Times New Roman"/>
                <w:bCs w:val="0"/>
                <w:i/>
                <w:color w:val="auto"/>
                <w:sz w:val="24"/>
                <w:szCs w:val="24"/>
                <w:lang w:val="en-US"/>
              </w:rPr>
            </m:ctrlPr>
          </m:sub>
        </m:sSub>
        <m:r>
          <m:rPr/>
          <w:rPr>
            <w:rFonts w:hint="default" w:ascii="Cambria Math" w:hAnsi="Cambria Math" w:cs="Cambria Math"/>
            <w:color w:val="auto"/>
            <w:sz w:val="24"/>
            <w:szCs w:val="24"/>
            <w:lang w:val="en-US"/>
          </w:rPr>
          <m:t>=</m:t>
        </m:r>
        <m:nary>
          <m:naryPr>
            <m:limLoc m:val="subSup"/>
            <m:ctrlPr>
              <w:rPr>
                <w:rFonts w:hint="default" w:ascii="Cambria Math" w:hAnsi="Cambria Math" w:cs="Cambria Math"/>
                <w:bCs w:val="0"/>
                <w:i/>
                <w:color w:val="auto"/>
                <w:sz w:val="24"/>
                <w:szCs w:val="24"/>
                <w:lang w:val="en-US"/>
              </w:rPr>
            </m:ctrlPr>
          </m:naryPr>
          <m:sub>
            <m:sSub>
              <m:sSubPr>
                <m:ctrlPr>
                  <w:rPr>
                    <w:rFonts w:hint="default" w:ascii="Cambria Math" w:hAnsi="Cambria Math" w:cs="Cambria Math"/>
                    <w:bCs w:val="0"/>
                    <w:i/>
                    <w:color w:val="auto"/>
                    <w:sz w:val="24"/>
                    <w:szCs w:val="24"/>
                    <w:lang w:val="en-US"/>
                  </w:rPr>
                </m:ctrlPr>
              </m:sSubPr>
              <m:e>
                <m:r>
                  <m:rPr/>
                  <w:rPr>
                    <w:rFonts w:hint="default" w:ascii="Cambria Math" w:hAnsi="Cambria Math" w:cs="Cambria Math"/>
                    <w:color w:val="auto"/>
                    <w:sz w:val="24"/>
                    <w:szCs w:val="24"/>
                    <w:lang w:val="en-US" w:eastAsia="zh-CN"/>
                  </w:rPr>
                  <m:t>t</m:t>
                </m:r>
                <m:ctrlPr>
                  <w:rPr>
                    <w:rFonts w:hint="default"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d</m:t>
                </m:r>
                <m:ctrlPr>
                  <w:rPr>
                    <w:rFonts w:hint="default" w:ascii="Cambria Math" w:hAnsi="Cambria Math" w:cs="Cambria Math"/>
                    <w:bCs w:val="0"/>
                    <w:i/>
                    <w:color w:val="auto"/>
                    <w:sz w:val="24"/>
                    <w:szCs w:val="24"/>
                    <w:lang w:val="en-US"/>
                  </w:rPr>
                </m:ctrlPr>
              </m:sub>
            </m:sSub>
            <m:ctrlPr>
              <w:rPr>
                <w:rFonts w:hint="default" w:ascii="Cambria Math" w:hAnsi="Cambria Math" w:cs="Cambria Math"/>
                <w:bCs w:val="0"/>
                <w:i/>
                <w:color w:val="auto"/>
                <w:sz w:val="24"/>
                <w:szCs w:val="24"/>
                <w:lang w:val="en-US"/>
              </w:rPr>
            </m:ctrlPr>
          </m:sub>
          <m:sup>
            <m:sSub>
              <m:sSubPr>
                <m:ctrlPr>
                  <w:rPr>
                    <w:rFonts w:hint="default" w:ascii="Cambria Math" w:hAnsi="Cambria Math" w:cs="Cambria Math"/>
                    <w:bCs w:val="0"/>
                    <w:i/>
                    <w:color w:val="auto"/>
                    <w:sz w:val="24"/>
                    <w:szCs w:val="24"/>
                    <w:lang w:val="en-US"/>
                  </w:rPr>
                </m:ctrlPr>
              </m:sSubPr>
              <m:e>
                <m:r>
                  <m:rPr/>
                  <w:rPr>
                    <w:rFonts w:hint="default" w:ascii="Cambria Math" w:hAnsi="Cambria Math" w:cs="Cambria Math"/>
                    <w:color w:val="auto"/>
                    <w:sz w:val="24"/>
                    <w:szCs w:val="24"/>
                    <w:lang w:val="en-US" w:eastAsia="zh-CN"/>
                  </w:rPr>
                  <m:t>t</m:t>
                </m:r>
                <m:ctrlPr>
                  <w:rPr>
                    <w:rFonts w:hint="default"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r</m:t>
                </m:r>
                <m:ctrlPr>
                  <w:rPr>
                    <w:rFonts w:hint="default" w:ascii="Cambria Math" w:hAnsi="Cambria Math" w:cs="Cambria Math"/>
                    <w:bCs w:val="0"/>
                    <w:i/>
                    <w:color w:val="auto"/>
                    <w:sz w:val="24"/>
                    <w:szCs w:val="24"/>
                    <w:lang w:val="en-US"/>
                  </w:rPr>
                </m:ctrlPr>
              </m:sub>
            </m:sSub>
            <m:ctrlPr>
              <w:rPr>
                <w:rFonts w:hint="default" w:ascii="Cambria Math" w:hAnsi="Cambria Math" w:cs="Cambria Math"/>
                <w:bCs w:val="0"/>
                <w:i/>
                <w:color w:val="auto"/>
                <w:sz w:val="24"/>
                <w:szCs w:val="24"/>
                <w:lang w:val="en-US"/>
              </w:rPr>
            </m:ctrlPr>
          </m:sup>
          <m:e>
            <m:r>
              <m:rPr/>
              <w:rPr>
                <w:rFonts w:hint="default" w:ascii="Cambria Math" w:hAnsi="Cambria Math" w:cs="Cambria Math"/>
                <w:color w:val="auto"/>
                <w:sz w:val="24"/>
                <w:szCs w:val="24"/>
                <w:lang w:val="en-US" w:eastAsia="zh-CN"/>
              </w:rPr>
              <m:t>I</m:t>
            </m:r>
            <m:d>
              <m:dPr>
                <m:ctrlPr>
                  <w:rPr>
                    <w:rFonts w:hint="default" w:ascii="Cambria Math" w:hAnsi="Cambria Math" w:cs="Cambria Math"/>
                    <w:bCs w:val="0"/>
                    <w:i/>
                    <w:color w:val="auto"/>
                    <w:sz w:val="24"/>
                    <w:szCs w:val="24"/>
                    <w:lang w:val="en-US" w:eastAsia="zh-CN"/>
                  </w:rPr>
                </m:ctrlPr>
              </m:dPr>
              <m:e>
                <m:r>
                  <m:rPr/>
                  <w:rPr>
                    <w:rFonts w:hint="default" w:ascii="Cambria Math" w:hAnsi="Cambria Math" w:cs="Cambria Math"/>
                    <w:color w:val="auto"/>
                    <w:sz w:val="24"/>
                    <w:szCs w:val="24"/>
                    <w:lang w:val="en-US" w:eastAsia="zh-CN"/>
                  </w:rPr>
                  <m:t>P</m:t>
                </m:r>
                <m:d>
                  <m:dPr>
                    <m:ctrlPr>
                      <w:rPr>
                        <w:rFonts w:hint="default" w:ascii="Cambria Math" w:hAnsi="Cambria Math" w:cs="Cambria Math"/>
                        <w:bCs w:val="0"/>
                        <w:i/>
                        <w:color w:val="auto"/>
                        <w:sz w:val="24"/>
                        <w:szCs w:val="24"/>
                        <w:lang w:val="en-US" w:eastAsia="zh-CN"/>
                      </w:rPr>
                    </m:ctrlPr>
                  </m:dPr>
                  <m:e>
                    <m:r>
                      <m:rPr/>
                      <w:rPr>
                        <w:rFonts w:hint="default" w:ascii="Cambria Math" w:hAnsi="Cambria Math" w:cs="Cambria Math"/>
                        <w:color w:val="auto"/>
                        <w:sz w:val="24"/>
                        <w:szCs w:val="24"/>
                        <w:lang w:val="en-US" w:eastAsia="zh-CN"/>
                      </w:rPr>
                      <m:t>t</m:t>
                    </m:r>
                    <m:ctrlPr>
                      <w:rPr>
                        <w:rFonts w:hint="default" w:ascii="Cambria Math" w:hAnsi="Cambria Math" w:cs="Cambria Math"/>
                        <w:bCs w:val="0"/>
                        <w:i/>
                        <w:color w:val="auto"/>
                        <w:sz w:val="24"/>
                        <w:szCs w:val="24"/>
                        <w:lang w:val="en-US" w:eastAsia="zh-CN"/>
                      </w:rPr>
                    </m:ctrlPr>
                  </m:e>
                </m:d>
                <m:r>
                  <m:rPr/>
                  <w:rPr>
                    <w:rFonts w:ascii="Cambria Math" w:hAnsi="Cambria Math" w:cs="Cambria Math"/>
                    <w:color w:val="auto"/>
                    <w:sz w:val="24"/>
                    <w:szCs w:val="24"/>
                    <w:lang w:val="en-US"/>
                  </w:rPr>
                  <m:t>≥</m:t>
                </m:r>
                <m:sSub>
                  <m:sSubPr>
                    <m:ctrlPr>
                      <w:rPr>
                        <w:rFonts w:ascii="Cambria Math" w:hAnsi="Cambria Math" w:cs="Cambria Math"/>
                        <w:bCs w:val="0"/>
                        <w:i/>
                        <w:color w:val="auto"/>
                        <w:sz w:val="24"/>
                        <w:szCs w:val="24"/>
                        <w:lang w:val="en-US"/>
                      </w:rPr>
                    </m:ctrlPr>
                  </m:sSubPr>
                  <m:e>
                    <m:r>
                      <m:rPr/>
                      <w:rPr>
                        <w:rFonts w:hint="default" w:ascii="Cambria Math" w:hAnsi="Cambria Math" w:cs="Cambria Math"/>
                        <w:color w:val="auto"/>
                        <w:sz w:val="24"/>
                        <w:szCs w:val="24"/>
                        <w:lang w:val="en-US" w:eastAsia="zh-CN"/>
                      </w:rPr>
                      <m:t>P</m:t>
                    </m:r>
                    <m:ctrlPr>
                      <w:rPr>
                        <w:rFonts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min</m:t>
                    </m:r>
                    <m:ctrlPr>
                      <w:rPr>
                        <w:rFonts w:ascii="Cambria Math" w:hAnsi="Cambria Math" w:cs="Cambria Math"/>
                        <w:bCs w:val="0"/>
                        <w:i/>
                        <w:color w:val="auto"/>
                        <w:sz w:val="24"/>
                        <w:szCs w:val="24"/>
                        <w:lang w:val="en-US"/>
                      </w:rPr>
                    </m:ctrlPr>
                  </m:sub>
                </m:sSub>
                <m:ctrlPr>
                  <w:rPr>
                    <w:rFonts w:hint="default" w:ascii="Cambria Math" w:hAnsi="Cambria Math" w:cs="Cambria Math"/>
                    <w:bCs w:val="0"/>
                    <w:i/>
                    <w:color w:val="auto"/>
                    <w:sz w:val="24"/>
                    <w:szCs w:val="24"/>
                    <w:lang w:val="en-US" w:eastAsia="zh-CN"/>
                  </w:rPr>
                </m:ctrlPr>
              </m:e>
            </m:d>
            <m:r>
              <m:rPr/>
              <w:rPr>
                <w:rFonts w:hint="default" w:ascii="Cambria Math" w:hAnsi="Cambria Math" w:cs="Cambria Math"/>
                <w:color w:val="auto"/>
                <w:sz w:val="24"/>
                <w:szCs w:val="24"/>
                <w:lang w:val="en-US" w:eastAsia="zh-CN"/>
              </w:rPr>
              <m:t>dt</m:t>
            </m:r>
            <m:ctrlPr>
              <w:rPr>
                <w:rFonts w:hint="default" w:ascii="Cambria Math" w:hAnsi="Cambria Math" w:cs="Cambria Math"/>
                <w:bCs w:val="0"/>
                <w:i/>
                <w:color w:val="auto"/>
                <w:sz w:val="24"/>
                <w:szCs w:val="24"/>
                <w:lang w:val="en-US"/>
              </w:rPr>
            </m:ctrlPr>
          </m:e>
        </m:nary>
      </m:oMath>
      <w:r>
        <w:rPr>
          <w:rFonts w:hint="default" w:ascii="Times New Roman" w:hAnsi="Times New Roman" w:cs="Times New Roman"/>
          <w:bCs w:val="0"/>
          <w:i w:val="0"/>
          <w:color w:val="auto"/>
          <w:sz w:val="24"/>
          <w:szCs w:val="24"/>
          <w:lang w:val="en-US" w:eastAsia="zh-CN"/>
        </w:rPr>
        <w:t xml:space="preserve">, where </w:t>
      </w:r>
      <m:oMath>
        <m:r>
          <m:rPr>
            <m:nor/>
          </m:rPr>
          <w:rPr>
            <w:rFonts w:hint="default" w:ascii="Times New Roman" w:hAnsi="Times New Roman" w:cs="Times New Roman"/>
            <w:i/>
            <w:color w:val="auto"/>
            <w:sz w:val="24"/>
            <w:szCs w:val="24"/>
            <w:lang w:val="en-US" w:eastAsia="zh-CN"/>
          </w:rPr>
          <m:t>I</m:t>
        </m:r>
      </m:oMath>
      <w:r>
        <w:rPr>
          <w:rFonts w:hint="default" w:ascii="Times New Roman" w:hAnsi="Times New Roman" w:cs="Times New Roman"/>
          <w:bCs w:val="0"/>
          <w:i w:val="0"/>
          <w:color w:val="auto"/>
          <w:sz w:val="24"/>
          <w:szCs w:val="24"/>
          <w:lang w:val="en-US" w:eastAsia="zh-CN"/>
        </w:rPr>
        <w:t xml:space="preserve"> is the indicator function, </w:t>
      </w:r>
      <m:oMath>
        <m:r>
          <m:rPr>
            <m:nor/>
          </m:rPr>
          <w:rPr>
            <w:rFonts w:hint="default" w:ascii="Times New Roman" w:hAnsi="Times New Roman" w:cs="Times New Roman"/>
            <w:i/>
            <w:color w:val="auto"/>
            <w:sz w:val="24"/>
            <w:szCs w:val="24"/>
            <w:lang w:val="en-US" w:eastAsia="zh-CN"/>
          </w:rPr>
          <m:t>P</m:t>
        </m:r>
        <m:d>
          <m:dPr>
            <m:ctrlPr>
              <w:rPr>
                <w:rFonts w:hint="default" w:ascii="Cambria Math" w:hAnsi="Cambria Math" w:cs="Times New Roman"/>
                <w:bCs w:val="0"/>
                <w:i/>
                <w:color w:val="auto"/>
                <w:sz w:val="24"/>
                <w:szCs w:val="24"/>
                <w:lang w:val="en-US" w:eastAsia="zh-CN"/>
              </w:rPr>
            </m:ctrlPr>
          </m:dPr>
          <m:e>
            <m:r>
              <m:rPr>
                <m:nor/>
              </m:rPr>
              <w:rPr>
                <w:rFonts w:hint="default" w:ascii="Times New Roman" w:hAnsi="Times New Roman" w:cs="Times New Roman"/>
                <w:i/>
                <w:color w:val="auto"/>
                <w:sz w:val="24"/>
                <w:szCs w:val="24"/>
                <w:lang w:val="en-US" w:eastAsia="zh-CN"/>
              </w:rPr>
              <m:t>t</m:t>
            </m:r>
            <m:ctrlPr>
              <w:rPr>
                <w:rFonts w:hint="default" w:ascii="Cambria Math" w:hAnsi="Cambria Math" w:cs="Times New Roman"/>
                <w:bCs w:val="0"/>
                <w:i/>
                <w:color w:val="auto"/>
                <w:sz w:val="24"/>
                <w:szCs w:val="24"/>
                <w:lang w:val="en-US" w:eastAsia="zh-CN"/>
              </w:rPr>
            </m:ctrlPr>
          </m:e>
        </m:d>
      </m:oMath>
      <w:r>
        <w:rPr>
          <w:rFonts w:hint="default" w:ascii="Times New Roman" w:hAnsi="Times New Roman" w:cs="Times New Roman"/>
          <w:bCs w:val="0"/>
          <w:i w:val="0"/>
          <w:color w:val="auto"/>
          <w:sz w:val="24"/>
          <w:szCs w:val="24"/>
          <w:lang w:val="en-US" w:eastAsia="zh-CN"/>
        </w:rPr>
        <w:t xml:space="preserve"> is the network average nodal pressure, </w:t>
      </w:r>
      <m:oMath>
        <m:sSub>
          <m:sSubPr>
            <m:ctrlPr>
              <w:rPr>
                <w:rFonts w:hint="default" w:ascii="Cambria Math" w:hAnsi="Cambria Math" w:cs="Times New Roman"/>
                <w:bCs w:val="0"/>
                <w:i/>
                <w:color w:val="auto"/>
                <w:sz w:val="24"/>
                <w:szCs w:val="24"/>
                <w:lang w:val="en-US"/>
              </w:rPr>
            </m:ctrlPr>
          </m:sSubPr>
          <m:e>
            <m:r>
              <m:rPr>
                <m:nor/>
              </m:rPr>
              <w:rPr>
                <w:rFonts w:hint="default" w:ascii="Times New Roman" w:hAnsi="Times New Roman" w:cs="Times New Roman"/>
                <w:i/>
                <w:color w:val="auto"/>
                <w:sz w:val="24"/>
                <w:szCs w:val="24"/>
                <w:lang w:val="en-US" w:eastAsia="zh-CN"/>
              </w:rPr>
              <m:t>t</m:t>
            </m:r>
            <m:ctrlPr>
              <w:rPr>
                <w:rFonts w:hint="default" w:ascii="Cambria Math" w:hAnsi="Cambria Math" w:cs="Times New Roman"/>
                <w:bCs w:val="0"/>
                <w:i/>
                <w:color w:val="auto"/>
                <w:sz w:val="24"/>
                <w:szCs w:val="24"/>
                <w:lang w:val="en-US"/>
              </w:rPr>
            </m:ctrlPr>
          </m:e>
          <m:sub>
            <m:r>
              <m:rPr>
                <m:nor/>
              </m:rPr>
              <w:rPr>
                <w:rFonts w:hint="default" w:ascii="Times New Roman" w:hAnsi="Times New Roman" w:cs="Times New Roman"/>
                <w:i/>
                <w:color w:val="auto"/>
                <w:sz w:val="24"/>
                <w:szCs w:val="24"/>
                <w:lang w:val="en-US" w:eastAsia="zh-CN"/>
              </w:rPr>
              <m:t>d</m:t>
            </m:r>
            <m:ctrlPr>
              <w:rPr>
                <w:rFonts w:hint="default" w:ascii="Cambria Math" w:hAnsi="Cambria Math" w:cs="Times New Roman"/>
                <w:bCs w:val="0"/>
                <w:i/>
                <w:color w:val="auto"/>
                <w:sz w:val="24"/>
                <w:szCs w:val="24"/>
                <w:lang w:val="en-US"/>
              </w:rPr>
            </m:ctrlPr>
          </m:sub>
        </m:sSub>
        <m:r>
          <m:rPr>
            <m:nor/>
            <m:sty m:val="p"/>
          </m:rPr>
          <w:rPr>
            <w:rFonts w:hint="default" w:ascii="Times New Roman" w:hAnsi="Times New Roman" w:cs="Times New Roman"/>
            <w:b w:val="0"/>
            <w:bCs w:val="0"/>
            <w:i w:val="0"/>
            <w:color w:val="auto"/>
            <w:sz w:val="24"/>
            <w:szCs w:val="24"/>
            <w:lang w:val="en-US"/>
          </w:rPr>
          <m:t>=</m:t>
        </m:r>
        <m:r>
          <m:rPr>
            <m:nor/>
            <m:sty m:val="p"/>
          </m:rPr>
          <w:rPr>
            <w:rFonts w:hint="default" w:ascii="Times New Roman" w:hAnsi="Times New Roman" w:cs="Times New Roman"/>
            <w:b w:val="0"/>
            <w:bCs w:val="0"/>
            <w:i w:val="0"/>
            <w:color w:val="auto"/>
            <w:sz w:val="24"/>
            <w:szCs w:val="24"/>
            <w:lang w:val="en-US" w:eastAsia="zh-CN"/>
          </w:rPr>
          <m:t>24</m:t>
        </m:r>
      </m:oMath>
      <w:r>
        <w:rPr>
          <w:rFonts w:hint="default" w:ascii="Times New Roman" w:hAnsi="Times New Roman" w:cs="Times New Roman"/>
          <w:bCs w:val="0"/>
          <w:i w:val="0"/>
          <w:color w:val="auto"/>
          <w:sz w:val="24"/>
          <w:szCs w:val="24"/>
          <w:lang w:val="en-US" w:eastAsia="zh-CN"/>
        </w:rPr>
        <w:t xml:space="preserve"> h is the fault initiation time, </w:t>
      </w:r>
      <m:oMath>
        <m:sSub>
          <m:sSubPr>
            <m:ctrlPr>
              <w:rPr>
                <w:rFonts w:hint="default" w:ascii="Cambria Math" w:hAnsi="Cambria Math" w:cs="Times New Roman"/>
                <w:bCs w:val="0"/>
                <w:i/>
                <w:color w:val="auto"/>
                <w:sz w:val="24"/>
                <w:szCs w:val="24"/>
                <w:lang w:val="en-US"/>
              </w:rPr>
            </m:ctrlPr>
          </m:sSubPr>
          <m:e>
            <m:r>
              <m:rPr>
                <m:nor/>
              </m:rPr>
              <w:rPr>
                <w:rFonts w:hint="default" w:ascii="Times New Roman" w:hAnsi="Times New Roman" w:cs="Times New Roman"/>
                <w:i/>
                <w:color w:val="auto"/>
                <w:sz w:val="24"/>
                <w:szCs w:val="24"/>
                <w:lang w:val="en-US" w:eastAsia="zh-CN"/>
              </w:rPr>
              <m:t>t</m:t>
            </m:r>
            <m:ctrlPr>
              <w:rPr>
                <w:rFonts w:hint="default" w:ascii="Cambria Math" w:hAnsi="Cambria Math" w:cs="Times New Roman"/>
                <w:bCs w:val="0"/>
                <w:i/>
                <w:color w:val="auto"/>
                <w:sz w:val="24"/>
                <w:szCs w:val="24"/>
                <w:lang w:val="en-US"/>
              </w:rPr>
            </m:ctrlPr>
          </m:e>
          <m:sub>
            <m:r>
              <m:rPr>
                <m:nor/>
              </m:rPr>
              <w:rPr>
                <w:rFonts w:hint="default" w:ascii="Times New Roman" w:hAnsi="Times New Roman" w:cs="Times New Roman"/>
                <w:i/>
                <w:color w:val="auto"/>
                <w:sz w:val="24"/>
                <w:szCs w:val="24"/>
                <w:lang w:val="en-US" w:eastAsia="zh-CN"/>
              </w:rPr>
              <m:t>r</m:t>
            </m:r>
            <m:ctrlPr>
              <w:rPr>
                <w:rFonts w:hint="default" w:ascii="Cambria Math" w:hAnsi="Cambria Math" w:cs="Times New Roman"/>
                <w:bCs w:val="0"/>
                <w:i/>
                <w:color w:val="auto"/>
                <w:sz w:val="24"/>
                <w:szCs w:val="24"/>
                <w:lang w:val="en-US"/>
              </w:rPr>
            </m:ctrlPr>
          </m:sub>
        </m:sSub>
      </m:oMath>
      <w:r>
        <w:rPr>
          <w:rFonts w:hint="default" w:ascii="Times New Roman" w:hAnsi="Times New Roman" w:cs="Times New Roman"/>
          <w:bCs w:val="0"/>
          <w:i w:val="0"/>
          <w:color w:val="auto"/>
          <w:sz w:val="24"/>
          <w:szCs w:val="24"/>
          <w:lang w:val="en-US" w:eastAsia="zh-CN"/>
        </w:rPr>
        <w:t xml:space="preserve"> is the restoration time, and </w:t>
      </w:r>
      <m:oMath>
        <m:sSub>
          <m:sSubPr>
            <m:ctrlPr>
              <w:rPr>
                <w:rFonts w:hint="default" w:ascii="Cambria Math" w:hAnsi="Cambria Math" w:cs="Times New Roman"/>
                <w:bCs w:val="0"/>
                <w:i/>
                <w:color w:val="auto"/>
                <w:sz w:val="24"/>
                <w:szCs w:val="24"/>
                <w:lang w:val="en-US"/>
              </w:rPr>
            </m:ctrlPr>
          </m:sSubPr>
          <m:e>
            <m:r>
              <m:rPr>
                <m:nor/>
              </m:rPr>
              <w:rPr>
                <w:rFonts w:hint="default" w:ascii="Times New Roman" w:hAnsi="Times New Roman" w:cs="Times New Roman"/>
                <w:i/>
                <w:color w:val="auto"/>
                <w:sz w:val="24"/>
                <w:szCs w:val="24"/>
                <w:lang w:val="en-US" w:eastAsia="zh-CN"/>
              </w:rPr>
              <m:t>P</m:t>
            </m:r>
            <m:ctrlPr>
              <w:rPr>
                <w:rFonts w:hint="default" w:ascii="Cambria Math" w:hAnsi="Cambria Math" w:cs="Times New Roman"/>
                <w:bCs w:val="0"/>
                <w:i/>
                <w:color w:val="auto"/>
                <w:sz w:val="24"/>
                <w:szCs w:val="24"/>
                <w:lang w:val="en-US"/>
              </w:rPr>
            </m:ctrlPr>
          </m:e>
          <m:sub>
            <m:r>
              <m:rPr>
                <m:nor/>
              </m:rPr>
              <w:rPr>
                <w:rFonts w:hint="default" w:ascii="Times New Roman" w:hAnsi="Times New Roman" w:cs="Times New Roman"/>
                <w:i/>
                <w:color w:val="auto"/>
                <w:sz w:val="24"/>
                <w:szCs w:val="24"/>
                <w:lang w:val="en-US" w:eastAsia="zh-CN"/>
              </w:rPr>
              <m:t>min</m:t>
            </m:r>
            <m:ctrlPr>
              <w:rPr>
                <w:rFonts w:hint="default" w:ascii="Cambria Math" w:hAnsi="Cambria Math" w:cs="Times New Roman"/>
                <w:bCs w:val="0"/>
                <w:i/>
                <w:color w:val="auto"/>
                <w:sz w:val="24"/>
                <w:szCs w:val="24"/>
                <w:lang w:val="en-US"/>
              </w:rPr>
            </m:ctrlPr>
          </m:sub>
        </m:sSub>
        <m:r>
          <m:rPr>
            <m:nor/>
            <m:sty m:val="p"/>
          </m:rPr>
          <w:rPr>
            <w:rFonts w:hint="default" w:ascii="Times New Roman" w:hAnsi="Times New Roman" w:cs="Times New Roman"/>
            <w:b w:val="0"/>
            <w:bCs w:val="0"/>
            <w:i w:val="0"/>
            <w:color w:val="auto"/>
            <w:sz w:val="24"/>
            <w:szCs w:val="24"/>
            <w:lang w:val="en-US"/>
          </w:rPr>
          <m:t>=</m:t>
        </m:r>
        <m:r>
          <m:rPr>
            <m:nor/>
            <m:sty m:val="p"/>
          </m:rPr>
          <w:rPr>
            <w:rFonts w:hint="default" w:ascii="Times New Roman" w:hAnsi="Times New Roman" w:cs="Times New Roman"/>
            <w:b w:val="0"/>
            <w:bCs w:val="0"/>
            <w:i w:val="0"/>
            <w:color w:val="auto"/>
            <w:sz w:val="24"/>
            <w:szCs w:val="24"/>
            <w:lang w:val="en-US" w:eastAsia="zh-CN"/>
          </w:rPr>
          <m:t>0.10</m:t>
        </m:r>
      </m:oMath>
      <w:r>
        <w:rPr>
          <w:rFonts w:hint="default" w:ascii="Times New Roman" w:hAnsi="Times New Roman" w:cs="Times New Roman"/>
          <w:bCs w:val="0"/>
          <w:i w:val="0"/>
          <w:color w:val="auto"/>
          <w:sz w:val="24"/>
          <w:szCs w:val="24"/>
          <w:lang w:val="en-US" w:eastAsia="zh-CN"/>
        </w:rPr>
        <w:t xml:space="preserve"> MPa is the critical supply pressure specified in GB 50013-2018.</w:t>
      </w:r>
      <w:r>
        <w:rPr>
          <w:rFonts w:hint="eastAsia" w:ascii="Times New Roman" w:hAnsi="Times New Roman" w:cs="Times New Roman"/>
          <w:bCs w:val="0"/>
          <w:i w:val="0"/>
          <w:color w:val="auto"/>
          <w:sz w:val="24"/>
          <w:szCs w:val="24"/>
          <w:lang w:val="en-US" w:eastAsia="zh-CN"/>
        </w:rPr>
        <w:t xml:space="preserve"> Service value quantifies the delivered water service, </w:t>
      </w:r>
      <m:oMath>
        <m:sSub>
          <m:sSubPr>
            <m:ctrlPr>
              <w:rPr>
                <w:rFonts w:ascii="Cambria Math" w:hAnsi="Cambria Math" w:cs="Times New Roman"/>
                <w:bCs w:val="0"/>
                <w:i/>
                <w:color w:val="auto"/>
                <w:sz w:val="24"/>
                <w:szCs w:val="24"/>
                <w:lang w:val="en-US"/>
              </w:rPr>
            </m:ctrlPr>
          </m:sSubPr>
          <m:e>
            <m:r>
              <m:rPr/>
              <w:rPr>
                <w:rFonts w:hint="default" w:ascii="Cambria Math" w:hAnsi="Cambria Math" w:cs="Times New Roman"/>
                <w:color w:val="auto"/>
                <w:sz w:val="24"/>
                <w:szCs w:val="24"/>
                <w:lang w:val="en-US" w:eastAsia="zh-CN"/>
              </w:rPr>
              <m:t>R</m:t>
            </m:r>
            <m:ctrlPr>
              <w:rPr>
                <w:rFonts w:ascii="Cambria Math" w:hAnsi="Cambria Math" w:cs="Times New Roman"/>
                <w:bCs w:val="0"/>
                <w:i/>
                <w:color w:val="auto"/>
                <w:sz w:val="24"/>
                <w:szCs w:val="24"/>
                <w:lang w:val="en-US"/>
              </w:rPr>
            </m:ctrlPr>
          </m:e>
          <m:sub>
            <m:r>
              <m:rPr/>
              <w:rPr>
                <w:rFonts w:hint="default" w:ascii="Cambria Math" w:hAnsi="Cambria Math" w:cs="Times New Roman"/>
                <w:color w:val="auto"/>
                <w:sz w:val="24"/>
                <w:szCs w:val="24"/>
                <w:lang w:val="en-US" w:eastAsia="zh-CN"/>
              </w:rPr>
              <m:t>w</m:t>
            </m:r>
            <m:ctrlPr>
              <w:rPr>
                <w:rFonts w:ascii="Cambria Math" w:hAnsi="Cambria Math" w:cs="Times New Roman"/>
                <w:bCs w:val="0"/>
                <w:i/>
                <w:color w:val="auto"/>
                <w:sz w:val="24"/>
                <w:szCs w:val="24"/>
                <w:lang w:val="en-US"/>
              </w:rPr>
            </m:ctrlPr>
          </m:sub>
        </m:sSub>
        <m:r>
          <m:rPr/>
          <w:rPr>
            <w:rFonts w:hint="default" w:ascii="Cambria Math" w:hAnsi="Cambria Math" w:cs="Cambria Math"/>
            <w:color w:val="auto"/>
            <w:sz w:val="24"/>
            <w:szCs w:val="24"/>
            <w:lang w:val="en-US"/>
          </w:rPr>
          <m:t>=</m:t>
        </m:r>
        <m:f>
          <m:fPr>
            <m:ctrlPr>
              <w:rPr>
                <w:rFonts w:hint="default" w:ascii="Cambria Math" w:hAnsi="Cambria Math" w:cs="Cambria Math"/>
                <w:bCs w:val="0"/>
                <w:i/>
                <w:color w:val="auto"/>
                <w:sz w:val="24"/>
                <w:szCs w:val="24"/>
                <w:lang w:val="en-US"/>
              </w:rPr>
            </m:ctrlPr>
          </m:fPr>
          <m:num>
            <m:r>
              <m:rPr/>
              <w:rPr>
                <w:rFonts w:hint="default" w:ascii="Cambria Math" w:hAnsi="Cambria Math" w:cs="Cambria Math"/>
                <w:color w:val="auto"/>
                <w:sz w:val="24"/>
                <w:szCs w:val="24"/>
                <w:lang w:val="en-US" w:eastAsia="zh-CN"/>
              </w:rPr>
              <m:t>W</m:t>
            </m:r>
            <m:ctrlPr>
              <w:rPr>
                <w:rFonts w:hint="default" w:ascii="Cambria Math" w:hAnsi="Cambria Math" w:cs="Cambria Math"/>
                <w:bCs w:val="0"/>
                <w:i/>
                <w:color w:val="auto"/>
                <w:sz w:val="24"/>
                <w:szCs w:val="24"/>
                <w:lang w:val="en-US"/>
              </w:rPr>
            </m:ctrlPr>
          </m:num>
          <m:den>
            <m:r>
              <m:rPr/>
              <w:rPr>
                <w:rFonts w:hint="default" w:ascii="Cambria Math" w:hAnsi="Cambria Math" w:cs="Cambria Math"/>
                <w:color w:val="auto"/>
                <w:sz w:val="24"/>
                <w:szCs w:val="24"/>
                <w:lang w:val="en-US" w:eastAsia="zh-CN"/>
              </w:rPr>
              <m:t>S</m:t>
            </m:r>
            <m:r>
              <m:rPr/>
              <w:rPr>
                <w:rFonts w:ascii="Cambria Math" w:hAnsi="Cambria Math" w:cs="Cambria Math"/>
                <w:color w:val="auto"/>
                <w:sz w:val="24"/>
                <w:szCs w:val="24"/>
                <w:lang w:val="en-US"/>
              </w:rPr>
              <m:t>∙</m:t>
            </m:r>
            <m:sSub>
              <m:sSubPr>
                <m:ctrlPr>
                  <w:rPr>
                    <w:rFonts w:ascii="Cambria Math" w:hAnsi="Cambria Math" w:cs="Cambria Math"/>
                    <w:bCs w:val="0"/>
                    <w:i/>
                    <w:color w:val="auto"/>
                    <w:sz w:val="24"/>
                    <w:szCs w:val="24"/>
                    <w:lang w:val="en-US"/>
                  </w:rPr>
                </m:ctrlPr>
              </m:sSubPr>
              <m:e>
                <m:r>
                  <m:rPr/>
                  <w:rPr>
                    <w:rFonts w:ascii="Cambria Math" w:hAnsi="Cambria Math" w:cs="Cambria Math"/>
                    <w:color w:val="auto"/>
                    <w:sz w:val="24"/>
                    <w:szCs w:val="24"/>
                    <w:lang w:val="en-US"/>
                  </w:rPr>
                  <m:t>α</m:t>
                </m:r>
                <m:ctrlPr>
                  <w:rPr>
                    <w:rFonts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max</m:t>
                </m:r>
                <m:ctrlPr>
                  <w:rPr>
                    <w:rFonts w:ascii="Cambria Math" w:hAnsi="Cambria Math" w:cs="Cambria Math"/>
                    <w:bCs w:val="0"/>
                    <w:i/>
                    <w:color w:val="auto"/>
                    <w:sz w:val="24"/>
                    <w:szCs w:val="24"/>
                    <w:lang w:val="en-US"/>
                  </w:rPr>
                </m:ctrlPr>
              </m:sub>
            </m:sSub>
            <m:ctrlPr>
              <w:rPr>
                <w:rFonts w:hint="default" w:ascii="Cambria Math" w:hAnsi="Cambria Math" w:cs="Cambria Math"/>
                <w:bCs w:val="0"/>
                <w:i/>
                <w:color w:val="auto"/>
                <w:sz w:val="24"/>
                <w:szCs w:val="24"/>
                <w:lang w:val="en-US"/>
              </w:rPr>
            </m:ctrlPr>
          </m:den>
        </m:f>
        <m:r>
          <m:rPr/>
          <w:rPr>
            <w:rFonts w:hint="default" w:ascii="Cambria Math" w:hAnsi="Cambria Math" w:cs="Cambria Math"/>
            <w:color w:val="auto"/>
            <w:sz w:val="24"/>
            <w:szCs w:val="24"/>
            <w:lang w:val="en-US"/>
          </w:rPr>
          <m:t>=</m:t>
        </m:r>
        <m:f>
          <m:fPr>
            <m:ctrlPr>
              <w:rPr>
                <w:rFonts w:hint="default" w:ascii="Cambria Math" w:hAnsi="Cambria Math" w:cs="Cambria Math"/>
                <w:bCs w:val="0"/>
                <w:i/>
                <w:color w:val="auto"/>
                <w:sz w:val="24"/>
                <w:szCs w:val="24"/>
                <w:lang w:val="en-US"/>
              </w:rPr>
            </m:ctrlPr>
          </m:fPr>
          <m:num>
            <m:nary>
              <m:naryPr>
                <m:limLoc m:val="subSup"/>
                <m:ctrlPr>
                  <w:rPr>
                    <w:rFonts w:hint="default" w:ascii="Cambria Math" w:hAnsi="Cambria Math" w:cs="Cambria Math"/>
                    <w:bCs w:val="0"/>
                    <w:i/>
                    <w:color w:val="auto"/>
                    <w:sz w:val="24"/>
                    <w:szCs w:val="24"/>
                    <w:lang w:val="en-US"/>
                  </w:rPr>
                </m:ctrlPr>
              </m:naryPr>
              <m:sub>
                <m:sSub>
                  <m:sSubPr>
                    <m:ctrlPr>
                      <w:rPr>
                        <w:rFonts w:hint="default" w:ascii="Cambria Math" w:hAnsi="Cambria Math" w:cs="Cambria Math"/>
                        <w:bCs w:val="0"/>
                        <w:i/>
                        <w:color w:val="auto"/>
                        <w:sz w:val="24"/>
                        <w:szCs w:val="24"/>
                        <w:lang w:val="en-US"/>
                      </w:rPr>
                    </m:ctrlPr>
                  </m:sSubPr>
                  <m:e>
                    <m:r>
                      <m:rPr/>
                      <w:rPr>
                        <w:rFonts w:hint="default" w:ascii="Cambria Math" w:hAnsi="Cambria Math" w:cs="Cambria Math"/>
                        <w:color w:val="auto"/>
                        <w:sz w:val="24"/>
                        <w:szCs w:val="24"/>
                        <w:lang w:val="en-US" w:eastAsia="zh-CN"/>
                      </w:rPr>
                      <m:t>t</m:t>
                    </m:r>
                    <m:ctrlPr>
                      <w:rPr>
                        <w:rFonts w:hint="default"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d</m:t>
                    </m:r>
                    <m:ctrlPr>
                      <w:rPr>
                        <w:rFonts w:hint="default" w:ascii="Cambria Math" w:hAnsi="Cambria Math" w:cs="Cambria Math"/>
                        <w:bCs w:val="0"/>
                        <w:i/>
                        <w:color w:val="auto"/>
                        <w:sz w:val="24"/>
                        <w:szCs w:val="24"/>
                        <w:lang w:val="en-US"/>
                      </w:rPr>
                    </m:ctrlPr>
                  </m:sub>
                </m:sSub>
                <m:ctrlPr>
                  <w:rPr>
                    <w:rFonts w:hint="default" w:ascii="Cambria Math" w:hAnsi="Cambria Math" w:cs="Cambria Math"/>
                    <w:bCs w:val="0"/>
                    <w:i/>
                    <w:color w:val="auto"/>
                    <w:sz w:val="24"/>
                    <w:szCs w:val="24"/>
                    <w:lang w:val="en-US"/>
                  </w:rPr>
                </m:ctrlPr>
              </m:sub>
              <m:sup>
                <m:sSub>
                  <m:sSubPr>
                    <m:ctrlPr>
                      <w:rPr>
                        <w:rFonts w:hint="default" w:ascii="Cambria Math" w:hAnsi="Cambria Math" w:cs="Cambria Math"/>
                        <w:bCs w:val="0"/>
                        <w:i/>
                        <w:color w:val="auto"/>
                        <w:sz w:val="24"/>
                        <w:szCs w:val="24"/>
                        <w:lang w:val="en-US"/>
                      </w:rPr>
                    </m:ctrlPr>
                  </m:sSubPr>
                  <m:e>
                    <m:r>
                      <m:rPr/>
                      <w:rPr>
                        <w:rFonts w:hint="default" w:ascii="Cambria Math" w:hAnsi="Cambria Math" w:cs="Cambria Math"/>
                        <w:color w:val="auto"/>
                        <w:sz w:val="24"/>
                        <w:szCs w:val="24"/>
                        <w:lang w:val="en-US" w:eastAsia="zh-CN"/>
                      </w:rPr>
                      <m:t>t</m:t>
                    </m:r>
                    <m:ctrlPr>
                      <w:rPr>
                        <w:rFonts w:hint="default"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r</m:t>
                    </m:r>
                    <m:ctrlPr>
                      <w:rPr>
                        <w:rFonts w:hint="default" w:ascii="Cambria Math" w:hAnsi="Cambria Math" w:cs="Cambria Math"/>
                        <w:bCs w:val="0"/>
                        <w:i/>
                        <w:color w:val="auto"/>
                        <w:sz w:val="24"/>
                        <w:szCs w:val="24"/>
                        <w:lang w:val="en-US"/>
                      </w:rPr>
                    </m:ctrlPr>
                  </m:sub>
                </m:sSub>
                <m:ctrlPr>
                  <w:rPr>
                    <w:rFonts w:hint="default" w:ascii="Cambria Math" w:hAnsi="Cambria Math" w:cs="Cambria Math"/>
                    <w:bCs w:val="0"/>
                    <w:i/>
                    <w:color w:val="auto"/>
                    <w:sz w:val="24"/>
                    <w:szCs w:val="24"/>
                    <w:lang w:val="en-US"/>
                  </w:rPr>
                </m:ctrlPr>
              </m:sup>
              <m:e>
                <m:nary>
                  <m:naryPr>
                    <m:chr m:val="∑"/>
                    <m:limLoc m:val="subSup"/>
                    <m:supHide m:val="1"/>
                    <m:ctrlPr>
                      <w:rPr>
                        <w:rFonts w:hint="default" w:ascii="Cambria Math" w:hAnsi="Cambria Math" w:cs="Cambria Math"/>
                        <w:bCs w:val="0"/>
                        <w:i/>
                        <w:color w:val="auto"/>
                        <w:sz w:val="24"/>
                        <w:szCs w:val="24"/>
                        <w:lang w:val="en-US"/>
                      </w:rPr>
                    </m:ctrlPr>
                  </m:naryPr>
                  <m:sub>
                    <m:r>
                      <m:rPr/>
                      <w:rPr>
                        <w:rFonts w:hint="default" w:ascii="Cambria Math" w:hAnsi="Cambria Math" w:cs="Cambria Math"/>
                        <w:color w:val="auto"/>
                        <w:sz w:val="24"/>
                        <w:szCs w:val="24"/>
                        <w:lang w:val="en-US" w:eastAsia="zh-CN"/>
                      </w:rPr>
                      <m:t>j</m:t>
                    </m:r>
                    <m:ctrlPr>
                      <w:rPr>
                        <w:rFonts w:hint="default" w:ascii="Cambria Math" w:hAnsi="Cambria Math" w:cs="Cambria Math"/>
                        <w:bCs w:val="0"/>
                        <w:i/>
                        <w:color w:val="auto"/>
                        <w:sz w:val="24"/>
                        <w:szCs w:val="24"/>
                        <w:lang w:val="en-US"/>
                      </w:rPr>
                    </m:ctrlPr>
                  </m:sub>
                  <m:sup>
                    <m:ctrlPr>
                      <w:rPr>
                        <w:rFonts w:hint="default" w:ascii="Cambria Math" w:hAnsi="Cambria Math" w:cs="Cambria Math"/>
                        <w:bCs w:val="0"/>
                        <w:i/>
                        <w:color w:val="auto"/>
                        <w:sz w:val="24"/>
                        <w:szCs w:val="24"/>
                        <w:lang w:val="en-US"/>
                      </w:rPr>
                    </m:ctrlPr>
                  </m:sup>
                  <m:e>
                    <m:sSub>
                      <m:sSubPr>
                        <m:ctrlPr>
                          <w:rPr>
                            <w:rFonts w:hint="default" w:ascii="Cambria Math" w:hAnsi="Cambria Math" w:cs="Cambria Math"/>
                            <w:bCs w:val="0"/>
                            <w:i/>
                            <w:color w:val="auto"/>
                            <w:sz w:val="24"/>
                            <w:szCs w:val="24"/>
                            <w:lang w:val="en-US"/>
                          </w:rPr>
                        </m:ctrlPr>
                      </m:sSubPr>
                      <m:e>
                        <m:r>
                          <m:rPr/>
                          <w:rPr>
                            <w:rFonts w:hint="default" w:ascii="Cambria Math" w:hAnsi="Cambria Math" w:cs="Cambria Math"/>
                            <w:color w:val="auto"/>
                            <w:sz w:val="24"/>
                            <w:szCs w:val="24"/>
                            <w:lang w:val="en-US" w:eastAsia="zh-CN"/>
                          </w:rPr>
                          <m:t>w</m:t>
                        </m:r>
                        <m:ctrlPr>
                          <w:rPr>
                            <w:rFonts w:hint="default"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j</m:t>
                        </m:r>
                        <m:ctrlPr>
                          <w:rPr>
                            <w:rFonts w:hint="default" w:ascii="Cambria Math" w:hAnsi="Cambria Math" w:cs="Cambria Math"/>
                            <w:bCs w:val="0"/>
                            <w:i/>
                            <w:color w:val="auto"/>
                            <w:sz w:val="24"/>
                            <w:szCs w:val="24"/>
                            <w:lang w:val="en-US"/>
                          </w:rPr>
                        </m:ctrlPr>
                      </m:sub>
                    </m:sSub>
                    <m:r>
                      <m:rPr/>
                      <w:rPr>
                        <w:rFonts w:ascii="Cambria Math" w:hAnsi="Cambria Math" w:cs="Cambria Math"/>
                        <w:color w:val="auto"/>
                        <w:sz w:val="24"/>
                        <w:szCs w:val="24"/>
                        <w:lang w:val="en-US"/>
                      </w:rPr>
                      <m:t>∙</m:t>
                    </m:r>
                    <m:sSub>
                      <m:sSubPr>
                        <m:ctrlPr>
                          <w:rPr>
                            <w:rFonts w:ascii="Cambria Math" w:hAnsi="Cambria Math" w:cs="Cambria Math"/>
                            <w:bCs w:val="0"/>
                            <w:i/>
                            <w:color w:val="auto"/>
                            <w:sz w:val="24"/>
                            <w:szCs w:val="24"/>
                            <w:lang w:val="en-US"/>
                          </w:rPr>
                        </m:ctrlPr>
                      </m:sSubPr>
                      <m:e>
                        <m:r>
                          <m:rPr/>
                          <w:rPr>
                            <w:rFonts w:hint="default" w:ascii="Cambria Math" w:hAnsi="Cambria Math" w:cs="Cambria Math"/>
                            <w:color w:val="auto"/>
                            <w:sz w:val="24"/>
                            <w:szCs w:val="24"/>
                            <w:lang w:val="en-US" w:eastAsia="zh-CN"/>
                          </w:rPr>
                          <m:t>q</m:t>
                        </m:r>
                        <m:ctrlPr>
                          <w:rPr>
                            <w:rFonts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j</m:t>
                        </m:r>
                        <m:ctrlPr>
                          <w:rPr>
                            <w:rFonts w:ascii="Cambria Math" w:hAnsi="Cambria Math" w:cs="Cambria Math"/>
                            <w:bCs w:val="0"/>
                            <w:i/>
                            <w:color w:val="auto"/>
                            <w:sz w:val="24"/>
                            <w:szCs w:val="24"/>
                            <w:lang w:val="en-US"/>
                          </w:rPr>
                        </m:ctrlPr>
                      </m:sub>
                    </m:sSub>
                    <m:ctrlPr>
                      <w:rPr>
                        <w:rFonts w:hint="default" w:ascii="Cambria Math" w:hAnsi="Cambria Math" w:cs="Cambria Math"/>
                        <w:bCs w:val="0"/>
                        <w:i/>
                        <w:color w:val="auto"/>
                        <w:sz w:val="24"/>
                        <w:szCs w:val="24"/>
                        <w:lang w:val="en-US"/>
                      </w:rPr>
                    </m:ctrlPr>
                  </m:e>
                </m:nary>
                <m:d>
                  <m:dPr>
                    <m:ctrlPr>
                      <w:rPr>
                        <w:rFonts w:hint="default" w:ascii="Cambria Math" w:hAnsi="Cambria Math" w:cs="Cambria Math"/>
                        <w:bCs w:val="0"/>
                        <w:i/>
                        <w:color w:val="auto"/>
                        <w:sz w:val="24"/>
                        <w:szCs w:val="24"/>
                        <w:lang w:val="en-US"/>
                      </w:rPr>
                    </m:ctrlPr>
                  </m:dPr>
                  <m:e>
                    <m:r>
                      <m:rPr/>
                      <w:rPr>
                        <w:rFonts w:hint="default" w:ascii="Cambria Math" w:hAnsi="Cambria Math" w:cs="Cambria Math"/>
                        <w:color w:val="auto"/>
                        <w:sz w:val="24"/>
                        <w:szCs w:val="24"/>
                        <w:lang w:val="en-US" w:eastAsia="zh-CN"/>
                      </w:rPr>
                      <m:t>t</m:t>
                    </m:r>
                    <m:ctrlPr>
                      <w:rPr>
                        <w:rFonts w:hint="default" w:ascii="Cambria Math" w:hAnsi="Cambria Math" w:cs="Cambria Math"/>
                        <w:bCs w:val="0"/>
                        <w:i/>
                        <w:color w:val="auto"/>
                        <w:sz w:val="24"/>
                        <w:szCs w:val="24"/>
                        <w:lang w:val="en-US"/>
                      </w:rPr>
                    </m:ctrlPr>
                  </m:e>
                </m:d>
                <m:r>
                  <m:rPr/>
                  <w:rPr>
                    <w:rFonts w:ascii="Cambria Math" w:hAnsi="Cambria Math" w:cs="Cambria Math"/>
                    <w:color w:val="auto"/>
                    <w:sz w:val="24"/>
                    <w:szCs w:val="24"/>
                    <w:lang w:val="en-US"/>
                  </w:rPr>
                  <m:t>∙α</m:t>
                </m:r>
                <m:d>
                  <m:dPr>
                    <m:ctrlPr>
                      <w:rPr>
                        <w:rFonts w:ascii="Cambria Math" w:hAnsi="Cambria Math" w:cs="Cambria Math"/>
                        <w:bCs w:val="0"/>
                        <w:i/>
                        <w:color w:val="auto"/>
                        <w:sz w:val="24"/>
                        <w:szCs w:val="24"/>
                        <w:lang w:val="en-US"/>
                      </w:rPr>
                    </m:ctrlPr>
                  </m:dPr>
                  <m:e>
                    <m:r>
                      <m:rPr/>
                      <w:rPr>
                        <w:rFonts w:hint="default" w:ascii="Cambria Math" w:hAnsi="Cambria Math" w:cs="Cambria Math"/>
                        <w:color w:val="auto"/>
                        <w:sz w:val="24"/>
                        <w:szCs w:val="24"/>
                        <w:lang w:val="en-US" w:eastAsia="zh-CN"/>
                      </w:rPr>
                      <m:t>t</m:t>
                    </m:r>
                    <m:ctrlPr>
                      <w:rPr>
                        <w:rFonts w:ascii="Cambria Math" w:hAnsi="Cambria Math" w:cs="Cambria Math"/>
                        <w:bCs w:val="0"/>
                        <w:i/>
                        <w:color w:val="auto"/>
                        <w:sz w:val="24"/>
                        <w:szCs w:val="24"/>
                        <w:lang w:val="en-US"/>
                      </w:rPr>
                    </m:ctrlPr>
                  </m:e>
                </m:d>
                <m:r>
                  <m:rPr/>
                  <w:rPr>
                    <w:rFonts w:hint="default" w:ascii="Cambria Math" w:hAnsi="Cambria Math" w:cs="Cambria Math"/>
                    <w:color w:val="auto"/>
                    <w:sz w:val="24"/>
                    <w:szCs w:val="24"/>
                    <w:lang w:val="en-US" w:eastAsia="zh-CN"/>
                  </w:rPr>
                  <m:t>dt</m:t>
                </m:r>
                <m:ctrlPr>
                  <w:rPr>
                    <w:rFonts w:hint="default" w:ascii="Cambria Math" w:hAnsi="Cambria Math" w:cs="Cambria Math"/>
                    <w:bCs w:val="0"/>
                    <w:i/>
                    <w:color w:val="auto"/>
                    <w:sz w:val="24"/>
                    <w:szCs w:val="24"/>
                    <w:lang w:val="en-US"/>
                  </w:rPr>
                </m:ctrlPr>
              </m:e>
            </m:nary>
            <m:ctrlPr>
              <w:rPr>
                <w:rFonts w:hint="default" w:ascii="Cambria Math" w:hAnsi="Cambria Math" w:cs="Cambria Math"/>
                <w:bCs w:val="0"/>
                <w:i/>
                <w:color w:val="auto"/>
                <w:sz w:val="24"/>
                <w:szCs w:val="24"/>
                <w:lang w:val="en-US"/>
              </w:rPr>
            </m:ctrlPr>
          </m:num>
          <m:den>
            <m:r>
              <m:rPr/>
              <w:rPr>
                <w:rFonts w:hint="default" w:ascii="Cambria Math" w:hAnsi="Cambria Math" w:cs="Cambria Math"/>
                <w:color w:val="auto"/>
                <w:sz w:val="24"/>
                <w:szCs w:val="24"/>
                <w:lang w:val="en-US" w:eastAsia="zh-CN"/>
              </w:rPr>
              <m:t>S</m:t>
            </m:r>
            <m:r>
              <m:rPr/>
              <w:rPr>
                <w:rFonts w:ascii="Cambria Math" w:hAnsi="Cambria Math" w:cs="Cambria Math"/>
                <w:color w:val="auto"/>
                <w:sz w:val="24"/>
                <w:szCs w:val="24"/>
                <w:lang w:val="en-US"/>
              </w:rPr>
              <m:t>∙</m:t>
            </m:r>
            <m:sSub>
              <m:sSubPr>
                <m:ctrlPr>
                  <w:rPr>
                    <w:rFonts w:ascii="Cambria Math" w:hAnsi="Cambria Math" w:cs="Cambria Math"/>
                    <w:bCs w:val="0"/>
                    <w:i/>
                    <w:color w:val="auto"/>
                    <w:sz w:val="24"/>
                    <w:szCs w:val="24"/>
                    <w:lang w:val="en-US"/>
                  </w:rPr>
                </m:ctrlPr>
              </m:sSubPr>
              <m:e>
                <m:r>
                  <m:rPr/>
                  <w:rPr>
                    <w:rFonts w:ascii="Cambria Math" w:hAnsi="Cambria Math" w:cs="Cambria Math"/>
                    <w:color w:val="auto"/>
                    <w:sz w:val="24"/>
                    <w:szCs w:val="24"/>
                    <w:lang w:val="en-US"/>
                  </w:rPr>
                  <m:t>α</m:t>
                </m:r>
                <m:ctrlPr>
                  <w:rPr>
                    <w:rFonts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max</m:t>
                </m:r>
                <m:ctrlPr>
                  <w:rPr>
                    <w:rFonts w:ascii="Cambria Math" w:hAnsi="Cambria Math" w:cs="Cambria Math"/>
                    <w:bCs w:val="0"/>
                    <w:i/>
                    <w:color w:val="auto"/>
                    <w:sz w:val="24"/>
                    <w:szCs w:val="24"/>
                    <w:lang w:val="en-US"/>
                  </w:rPr>
                </m:ctrlPr>
              </m:sub>
            </m:sSub>
            <m:ctrlPr>
              <w:rPr>
                <w:rFonts w:hint="default" w:ascii="Cambria Math" w:hAnsi="Cambria Math" w:cs="Cambria Math"/>
                <w:bCs w:val="0"/>
                <w:i/>
                <w:color w:val="auto"/>
                <w:sz w:val="24"/>
                <w:szCs w:val="24"/>
                <w:lang w:val="en-US"/>
              </w:rPr>
            </m:ctrlPr>
          </m:den>
        </m:f>
      </m:oMath>
      <w:r>
        <w:rPr>
          <w:rFonts w:hint="default" w:ascii="Times New Roman" w:hAnsi="Times New Roman" w:cs="Times New Roman"/>
          <w:bCs w:val="0"/>
          <w:i w:val="0"/>
          <w:color w:val="auto"/>
          <w:sz w:val="24"/>
          <w:szCs w:val="24"/>
          <w:lang w:val="en-US" w:eastAsia="zh-CN"/>
        </w:rPr>
        <w:t>, in which the numerator W weights each delivered cubic meter by the demand pattern value α(t) of its delivery timing (α∈[0.60,1.30], unit daily mean), and the denominator is the storage value ceiling. The formulation builds on reliability indicators evaluated under pressure-driven models (Liserra et al., 2014) and on pressure-dependent resilience assessment (Roach and Kapelan, 2017). Both metrics are computed from the time-synchronized database, which records delivered and required flows at each 300 s step (Section 2.3), so both are fully reproducible. The formerly qualitative P(t) formulation no longer appears in the manuscript.</w:t>
      </w:r>
    </w:p>
    <w:p w14:paraId="6DAA72E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2. Delivered service and unmet demand are now explicit in both the metric and the accounting</w:t>
      </w:r>
    </w:p>
    <w:p w14:paraId="3A8AAE0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The delivered flow </w:t>
      </w:r>
      <m:oMath>
        <m:sSub>
          <m:sSubPr>
            <m:ctrlPr>
              <w:rPr>
                <w:rFonts w:ascii="Cambria Math" w:hAnsi="Cambria Math" w:cs="Times New Roman"/>
                <w:i/>
                <w:sz w:val="24"/>
                <w:szCs w:val="24"/>
              </w:rPr>
            </m:ctrlPr>
          </m:sSubPr>
          <m:e>
            <m:r>
              <m:rPr/>
              <w:rPr>
                <w:rFonts w:hint="default" w:ascii="Cambria Math" w:hAnsi="Cambria Math" w:cs="Times New Roman"/>
                <w:sz w:val="24"/>
                <w:szCs w:val="24"/>
                <w:lang w:val="en-US" w:eastAsia="zh-CN"/>
              </w:rPr>
              <m:t>q</m:t>
            </m:r>
            <m:ctrlPr>
              <w:rPr>
                <w:rFonts w:ascii="Cambria Math" w:hAnsi="Cambria Math" w:cs="Times New Roman"/>
                <w:i/>
                <w:sz w:val="24"/>
                <w:szCs w:val="24"/>
              </w:rPr>
            </m:ctrlPr>
          </m:e>
          <m:sub>
            <m:r>
              <m:rPr/>
              <w:rPr>
                <w:rFonts w:hint="default" w:ascii="Cambria Math" w:hAnsi="Cambria Math" w:cs="Times New Roman"/>
                <w:sz w:val="24"/>
                <w:szCs w:val="24"/>
                <w:lang w:val="en-US" w:eastAsia="zh-CN"/>
              </w:rPr>
              <m:t>j</m:t>
            </m:r>
            <m:ctrlPr>
              <w:rPr>
                <w:rFonts w:ascii="Cambria Math" w:hAnsi="Cambria Math" w:cs="Times New Roman"/>
                <w:i/>
                <w:sz w:val="24"/>
                <w:szCs w:val="24"/>
              </w:rPr>
            </m:ctrlPr>
          </m:sub>
        </m:sSub>
        <m:d>
          <m:dPr>
            <m:ctrlPr>
              <w:rPr>
                <w:rFonts w:ascii="Cambria Math" w:hAnsi="Cambria Math" w:cs="Times New Roman"/>
                <w:i/>
                <w:sz w:val="24"/>
                <w:szCs w:val="24"/>
              </w:rPr>
            </m:ctrlPr>
          </m:dPr>
          <m:e>
            <m:r>
              <m:rPr/>
              <w:rPr>
                <w:rFonts w:hint="default" w:ascii="Cambria Math" w:hAnsi="Cambria Math" w:cs="Times New Roman"/>
                <w:sz w:val="24"/>
                <w:szCs w:val="24"/>
                <w:lang w:val="en-US" w:eastAsia="zh-CN"/>
              </w:rPr>
              <m:t>t</m:t>
            </m:r>
            <m:ctrlPr>
              <w:rPr>
                <w:rFonts w:ascii="Cambria Math" w:hAnsi="Cambria Math" w:cs="Times New Roman"/>
                <w:i/>
                <w:sz w:val="24"/>
                <w:szCs w:val="24"/>
              </w:rPr>
            </m:ctrlPr>
          </m:e>
        </m:d>
      </m:oMath>
      <w:r>
        <w:rPr>
          <w:rFonts w:hint="default" w:ascii="Times New Roman" w:hAnsi="Times New Roman" w:eastAsia="Times New Roman" w:cs="Times New Roman"/>
          <w:i w:val="0"/>
          <w:sz w:val="24"/>
          <w:szCs w:val="24"/>
        </w:rPr>
        <w:t xml:space="preserve"> enters the Service value numerator directly, so the metric responds to water actually delivered rather than to pressure alone; the node weights </w:t>
      </w:r>
      <m:oMath>
        <m:sSub>
          <m:sSubPr>
            <m:ctrlPr>
              <w:rPr>
                <w:rFonts w:ascii="Cambria Math" w:hAnsi="Cambria Math" w:cs="Times New Roman"/>
                <w:i/>
                <w:sz w:val="24"/>
                <w:szCs w:val="24"/>
              </w:rPr>
            </m:ctrlPr>
          </m:sSubPr>
          <m:e>
            <m:r>
              <m:rPr/>
              <w:rPr>
                <w:rFonts w:hint="default" w:ascii="Cambria Math" w:hAnsi="Cambria Math" w:cs="Times New Roman"/>
                <w:sz w:val="24"/>
                <w:szCs w:val="24"/>
                <w:lang w:val="en-US" w:eastAsia="zh-CN"/>
              </w:rPr>
              <m:t>w</m:t>
            </m:r>
            <m:ctrlPr>
              <w:rPr>
                <w:rFonts w:ascii="Cambria Math" w:hAnsi="Cambria Math" w:cs="Times New Roman"/>
                <w:i/>
                <w:sz w:val="24"/>
                <w:szCs w:val="24"/>
              </w:rPr>
            </m:ctrlPr>
          </m:e>
          <m:sub>
            <m:r>
              <m:rPr/>
              <w:rPr>
                <w:rFonts w:hint="default" w:ascii="Cambria Math" w:hAnsi="Cambria Math" w:cs="Times New Roman"/>
                <w:sz w:val="24"/>
                <w:szCs w:val="24"/>
                <w:lang w:val="en-US" w:eastAsia="zh-CN"/>
              </w:rPr>
              <m:t>j</m:t>
            </m:r>
            <m:ctrlPr>
              <w:rPr>
                <w:rFonts w:ascii="Cambria Math" w:hAnsi="Cambria Math" w:cs="Times New Roman"/>
                <w:i/>
                <w:sz w:val="24"/>
                <w:szCs w:val="24"/>
              </w:rPr>
            </m:ctrlPr>
          </m:sub>
        </m:sSub>
      </m:oMath>
      <w:r>
        <w:rPr>
          <w:rFonts w:hint="default" w:ascii="Times New Roman" w:hAnsi="Times New Roman" w:eastAsia="Times New Roman" w:cs="Times New Roman"/>
          <w:i w:val="0"/>
          <w:sz w:val="24"/>
          <w:szCs w:val="24"/>
        </w:rPr>
        <w:t xml:space="preserve"> are unity in this study and constitute a designed extension point for priority-graded dispatch. The volumetric book is reported in full in Section 3.3: total delivered volume (1,095.2 m³ for No EWM and 1,088.3 m³ for EWM, a difference of 0.6%), the physically unserved volume after outlet failure, that is, the demand not delivered after failure (5,295.3 to 3,947.3 m³, a decrease of 25.5%), and the morning peak coverage (97.9 m³, about 9% of the block requirement, against none in the baseline). The mass balance audit (delivered volume to storage depletion, </w:t>
      </w:r>
      <m:oMath>
        <m:r>
          <m:rPr>
            <m:nor/>
          </m:rPr>
          <w:rPr>
            <w:rFonts w:hint="default" w:ascii="Times New Roman" w:hAnsi="Times New Roman" w:cs="Times New Roman"/>
            <w:i/>
            <w:iCs/>
            <w:color w:val="auto"/>
            <w:sz w:val="24"/>
            <w:highlight w:val="none"/>
          </w:rPr>
          <m:t>η</m:t>
        </m:r>
        <m:r>
          <m:rPr>
            <m:nor/>
            <m:sty m:val="p"/>
          </m:rPr>
          <w:rPr>
            <w:rFonts w:hint="default" w:ascii="Times New Roman" w:hAnsi="Times New Roman" w:cs="Times New Roman"/>
            <w:b w:val="0"/>
            <w:i w:val="0"/>
            <w:color w:val="auto"/>
            <w:sz w:val="24"/>
            <w:highlight w:val="none"/>
            <w:lang w:val="en-US" w:eastAsia="zh-CN"/>
          </w:rPr>
          <m:t xml:space="preserve"> </m:t>
        </m:r>
        <m:r>
          <m:rPr>
            <m:nor/>
            <m:sty m:val="p"/>
          </m:rPr>
          <w:rPr>
            <w:rFonts w:hint="default" w:ascii="Times New Roman" w:hAnsi="Times New Roman" w:cs="Times New Roman"/>
            <w:b w:val="0"/>
            <w:i w:val="0"/>
            <w:color w:val="auto"/>
            <w:sz w:val="24"/>
            <w:highlight w:val="none"/>
          </w:rPr>
          <m:t>=</m:t>
        </m:r>
        <m:r>
          <m:rPr>
            <m:nor/>
            <m:sty m:val="p"/>
          </m:rPr>
          <w:rPr>
            <w:rFonts w:hint="default" w:ascii="Times New Roman" w:hAnsi="Times New Roman" w:cs="Times New Roman"/>
            <w:b w:val="0"/>
            <w:i w:val="0"/>
            <w:color w:val="auto"/>
            <w:sz w:val="24"/>
            <w:highlight w:val="none"/>
            <w:lang w:val="en-US" w:eastAsia="zh-CN"/>
          </w:rPr>
          <m:t xml:space="preserve"> 1.0</m:t>
        </m:r>
      </m:oMath>
      <w:r>
        <w:rPr>
          <w:rFonts w:hint="default" w:ascii="Times New Roman" w:hAnsi="Times New Roman" w:eastAsia="Times New Roman" w:cs="Times New Roman"/>
          <w:i w:val="0"/>
          <w:sz w:val="24"/>
          <w:szCs w:val="24"/>
        </w:rPr>
        <w:t>, Section 2.3) further confirms that these delivered volumes are physical outcomes of the pressure-driven solution rather than artifacts of the coupling. Unmet demand is thereby visible in the results rather than hidden inside a single aggregate.</w:t>
      </w:r>
    </w:p>
    <w:p w14:paraId="3B921C4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3. The metric is constructed so that demand suppression cannot inflate it</w:t>
      </w:r>
    </w:p>
    <w:p w14:paraId="7F09C97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The specific failure mode identified by the Reviewer, pressure maintained by curtailing demand, is excluded by construction. The anchor </w:t>
      </w:r>
      <m:oMath>
        <m:r>
          <m:rPr/>
          <w:rPr>
            <w:rFonts w:hint="default" w:ascii="Cambria Math" w:hAnsi="Cambria Math" w:cs="Cambria Math"/>
            <w:color w:val="auto"/>
            <w:sz w:val="24"/>
            <w:szCs w:val="24"/>
            <w:lang w:val="en-US" w:eastAsia="zh-CN"/>
          </w:rPr>
          <m:t>S</m:t>
        </m:r>
        <m:r>
          <m:rPr/>
          <w:rPr>
            <w:rFonts w:ascii="Cambria Math" w:hAnsi="Cambria Math" w:cs="Cambria Math"/>
            <w:color w:val="auto"/>
            <w:sz w:val="24"/>
            <w:szCs w:val="24"/>
            <w:lang w:val="en-US"/>
          </w:rPr>
          <m:t>∙</m:t>
        </m:r>
        <m:sSub>
          <m:sSubPr>
            <m:ctrlPr>
              <w:rPr>
                <w:rFonts w:ascii="Cambria Math" w:hAnsi="Cambria Math" w:cs="Cambria Math"/>
                <w:bCs w:val="0"/>
                <w:i/>
                <w:color w:val="auto"/>
                <w:sz w:val="24"/>
                <w:szCs w:val="24"/>
                <w:lang w:val="en-US"/>
              </w:rPr>
            </m:ctrlPr>
          </m:sSubPr>
          <m:e>
            <m:r>
              <m:rPr/>
              <w:rPr>
                <w:rFonts w:ascii="Cambria Math" w:hAnsi="Cambria Math" w:cs="Cambria Math"/>
                <w:color w:val="auto"/>
                <w:sz w:val="24"/>
                <w:szCs w:val="24"/>
                <w:lang w:val="en-US"/>
              </w:rPr>
              <m:t>α</m:t>
            </m:r>
            <m:ctrlPr>
              <w:rPr>
                <w:rFonts w:ascii="Cambria Math" w:hAnsi="Cambria Math" w:cs="Cambria Math"/>
                <w:bCs w:val="0"/>
                <w:i/>
                <w:color w:val="auto"/>
                <w:sz w:val="24"/>
                <w:szCs w:val="24"/>
                <w:lang w:val="en-US"/>
              </w:rPr>
            </m:ctrlPr>
          </m:e>
          <m:sub>
            <m:r>
              <m:rPr/>
              <w:rPr>
                <w:rFonts w:hint="default" w:ascii="Cambria Math" w:hAnsi="Cambria Math" w:cs="Cambria Math"/>
                <w:color w:val="auto"/>
                <w:sz w:val="24"/>
                <w:szCs w:val="24"/>
                <w:lang w:val="en-US" w:eastAsia="zh-CN"/>
              </w:rPr>
              <m:t>max</m:t>
            </m:r>
            <m:ctrlPr>
              <w:rPr>
                <w:rFonts w:ascii="Cambria Math" w:hAnsi="Cambria Math" w:cs="Cambria Math"/>
                <w:bCs w:val="0"/>
                <w:i/>
                <w:color w:val="auto"/>
                <w:sz w:val="24"/>
                <w:szCs w:val="24"/>
                <w:lang w:val="en-US"/>
              </w:rPr>
            </m:ctrlPr>
          </m:sub>
        </m:sSub>
      </m:oMath>
      <w:r>
        <w:rPr>
          <w:rFonts w:hint="default" w:ascii="Times New Roman" w:hAnsi="Times New Roman" w:eastAsia="Times New Roman" w:cs="Times New Roman"/>
          <w:i w:val="0"/>
          <w:sz w:val="24"/>
          <w:szCs w:val="24"/>
        </w:rPr>
        <w:t xml:space="preserve"> is physical and scenario adaptive: </w:t>
      </w:r>
      <m:oMath>
        <m:r>
          <m:rPr/>
          <w:rPr>
            <w:rFonts w:hint="default" w:ascii="Cambria Math" w:hAnsi="Cambria Math" w:cs="Cambria Math"/>
            <w:color w:val="auto"/>
            <w:sz w:val="24"/>
            <w:szCs w:val="24"/>
            <w:lang w:val="en-US" w:eastAsia="zh-CN"/>
          </w:rPr>
          <m:t>S</m:t>
        </m:r>
      </m:oMath>
      <w:r>
        <w:rPr>
          <w:rFonts w:hint="eastAsia" w:ascii="Times New Roman" w:hAnsi="Times New Roman" w:cs="Times New Roman"/>
          <w:i w:val="0"/>
          <w:sz w:val="24"/>
          <w:szCs w:val="24"/>
          <w:lang w:val="en-US" w:eastAsia="zh-CN"/>
        </w:rPr>
        <w:t xml:space="preserve"> </w:t>
      </w:r>
      <w:r>
        <w:rPr>
          <w:rFonts w:hint="default" w:ascii="Times New Roman" w:hAnsi="Times New Roman" w:eastAsia="Times New Roman" w:cs="Times New Roman"/>
          <w:i w:val="0"/>
          <w:sz w:val="24"/>
          <w:szCs w:val="24"/>
        </w:rPr>
        <w:t xml:space="preserve">is the usable tank storage at fault onset (the volume above the 0.05 m minimum level, 1,156.4 m³ in the baseline case, captured from the SCADA record at runtime), </w:t>
      </w:r>
      <m:oMath>
        <m:sSub>
          <m:sSubPr>
            <m:ctrlPr>
              <w:rPr>
                <w:rFonts w:hint="default" w:ascii="Cambria Math" w:hAnsi="Cambria Math" w:cs="Times New Roman"/>
                <w:bCs w:val="0"/>
                <w:i/>
                <w:color w:val="auto"/>
                <w:sz w:val="24"/>
                <w:szCs w:val="24"/>
                <w:lang w:val="en-US"/>
              </w:rPr>
            </m:ctrlPr>
          </m:sSubPr>
          <m:e>
            <m:r>
              <m:rPr>
                <m:nor/>
              </m:rPr>
              <w:rPr>
                <w:rFonts w:hint="default" w:ascii="Times New Roman" w:hAnsi="Times New Roman" w:cs="Times New Roman"/>
                <w:i/>
                <w:color w:val="auto"/>
                <w:sz w:val="24"/>
                <w:szCs w:val="24"/>
                <w:lang w:val="en-US"/>
              </w:rPr>
              <m:t>α</m:t>
            </m:r>
            <m:ctrlPr>
              <w:rPr>
                <w:rFonts w:hint="default" w:ascii="Cambria Math" w:hAnsi="Cambria Math" w:cs="Times New Roman"/>
                <w:bCs w:val="0"/>
                <w:i/>
                <w:color w:val="auto"/>
                <w:sz w:val="24"/>
                <w:szCs w:val="24"/>
                <w:lang w:val="en-US"/>
              </w:rPr>
            </m:ctrlPr>
          </m:e>
          <m:sub>
            <m:r>
              <m:rPr>
                <m:nor/>
              </m:rPr>
              <w:rPr>
                <w:rFonts w:hint="default" w:ascii="Times New Roman" w:hAnsi="Times New Roman" w:cs="Times New Roman"/>
                <w:i/>
                <w:color w:val="auto"/>
                <w:sz w:val="24"/>
                <w:szCs w:val="24"/>
                <w:lang w:val="en-US" w:eastAsia="zh-CN"/>
              </w:rPr>
              <m:t>max</m:t>
            </m:r>
            <m:ctrlPr>
              <w:rPr>
                <w:rFonts w:hint="default" w:ascii="Cambria Math" w:hAnsi="Cambria Math" w:cs="Times New Roman"/>
                <w:bCs w:val="0"/>
                <w:i/>
                <w:color w:val="auto"/>
                <w:sz w:val="24"/>
                <w:szCs w:val="24"/>
                <w:lang w:val="en-US"/>
              </w:rPr>
            </m:ctrlPr>
          </m:sub>
        </m:sSub>
        <m:r>
          <m:rPr>
            <m:nor/>
            <m:sty m:val="p"/>
          </m:rPr>
          <w:rPr>
            <w:rFonts w:hint="default" w:ascii="Times New Roman" w:hAnsi="Times New Roman" w:cs="Times New Roman"/>
            <w:b w:val="0"/>
            <w:bCs w:val="0"/>
            <w:i w:val="0"/>
            <w:color w:val="auto"/>
            <w:sz w:val="24"/>
            <w:szCs w:val="24"/>
            <w:lang w:val="en-US"/>
          </w:rPr>
          <m:t>=</m:t>
        </m:r>
        <m:r>
          <m:rPr>
            <m:nor/>
            <m:sty m:val="p"/>
          </m:rPr>
          <w:rPr>
            <w:rFonts w:hint="default" w:ascii="Times New Roman" w:hAnsi="Times New Roman" w:cs="Times New Roman"/>
            <w:b w:val="0"/>
            <w:bCs w:val="0"/>
            <w:i w:val="0"/>
            <w:color w:val="auto"/>
            <w:sz w:val="24"/>
            <w:szCs w:val="24"/>
            <w:lang w:val="en-US" w:eastAsia="zh-CN"/>
          </w:rPr>
          <m:t>1.30</m:t>
        </m:r>
      </m:oMath>
      <w:r>
        <w:rPr>
          <w:rFonts w:hint="default" w:ascii="Times New Roman" w:hAnsi="Times New Roman" w:eastAsia="Times New Roman" w:cs="Times New Roman"/>
          <w:i w:val="0"/>
          <w:sz w:val="24"/>
          <w:szCs w:val="24"/>
        </w:rPr>
        <w:t xml:space="preserve"> is the highest demand block weight, and the anchor is recomputed for every fault onset phase, tank scale, and demand load. Curtailing demand only removes volume from the numerator, so, as stated in Section 2.4.2, pressure preservation without water delivery cannot increase </w:t>
      </w:r>
      <m:oMath>
        <m:sSub>
          <m:sSubPr>
            <m:ctrlPr>
              <w:rPr>
                <w:rFonts w:hint="default" w:ascii="Cambria Math" w:hAnsi="Cambria Math" w:cs="Times New Roman"/>
                <w:bCs w:val="0"/>
                <w:i/>
                <w:color w:val="auto"/>
                <w:sz w:val="24"/>
                <w:szCs w:val="24"/>
                <w:lang w:val="en-US"/>
              </w:rPr>
            </m:ctrlPr>
          </m:sSubPr>
          <m:e>
            <m:r>
              <m:rPr>
                <m:nor/>
              </m:rPr>
              <w:rPr>
                <w:rFonts w:hint="default" w:ascii="Times New Roman" w:hAnsi="Times New Roman" w:cs="Times New Roman"/>
                <w:i/>
                <w:color w:val="auto"/>
                <w:sz w:val="24"/>
                <w:szCs w:val="24"/>
                <w:lang w:val="en-US" w:eastAsia="zh-CN"/>
              </w:rPr>
              <m:t>R</m:t>
            </m:r>
            <m:ctrlPr>
              <w:rPr>
                <w:rFonts w:hint="default" w:ascii="Cambria Math" w:hAnsi="Cambria Math" w:cs="Times New Roman"/>
                <w:bCs w:val="0"/>
                <w:i/>
                <w:color w:val="auto"/>
                <w:sz w:val="24"/>
                <w:szCs w:val="24"/>
                <w:lang w:val="en-US"/>
              </w:rPr>
            </m:ctrlPr>
          </m:e>
          <m:sub>
            <m:r>
              <m:rPr>
                <m:nor/>
              </m:rPr>
              <w:rPr>
                <w:rFonts w:hint="default" w:ascii="Times New Roman" w:hAnsi="Times New Roman" w:cs="Times New Roman"/>
                <w:i/>
                <w:color w:val="auto"/>
                <w:sz w:val="24"/>
                <w:szCs w:val="24"/>
                <w:lang w:val="en-US" w:eastAsia="zh-CN"/>
              </w:rPr>
              <m:t>w</m:t>
            </m:r>
            <m:ctrlPr>
              <w:rPr>
                <w:rFonts w:hint="default" w:ascii="Cambria Math" w:hAnsi="Cambria Math" w:cs="Times New Roman"/>
                <w:bCs w:val="0"/>
                <w:i/>
                <w:color w:val="auto"/>
                <w:sz w:val="24"/>
                <w:szCs w:val="24"/>
                <w:lang w:val="en-US"/>
              </w:rPr>
            </m:ctrlPr>
          </m:sub>
        </m:sSub>
      </m:oMath>
      <w:r>
        <w:rPr>
          <w:rFonts w:hint="default" w:ascii="Times New Roman" w:hAnsi="Times New Roman" w:eastAsia="Times New Roman" w:cs="Times New Roman"/>
          <w:i w:val="0"/>
          <w:sz w:val="24"/>
          <w:szCs w:val="24"/>
        </w:rPr>
        <w:t xml:space="preserve"> The metric satisfies </w:t>
      </w:r>
      <m:oMath>
        <m:sSub>
          <m:sSubPr>
            <m:ctrlPr>
              <w:rPr>
                <w:rFonts w:hint="default" w:ascii="Cambria Math" w:hAnsi="Cambria Math" w:cs="Times New Roman"/>
                <w:bCs w:val="0"/>
                <w:i/>
                <w:color w:val="auto"/>
                <w:sz w:val="24"/>
                <w:szCs w:val="24"/>
                <w:lang w:val="en-US"/>
              </w:rPr>
            </m:ctrlPr>
          </m:sSubPr>
          <m:e>
            <m:r>
              <m:rPr>
                <m:nor/>
              </m:rPr>
              <w:rPr>
                <w:rFonts w:hint="default" w:ascii="Times New Roman" w:hAnsi="Times New Roman" w:cs="Times New Roman"/>
                <w:i/>
                <w:color w:val="auto"/>
                <w:sz w:val="24"/>
                <w:szCs w:val="24"/>
                <w:lang w:val="en-US" w:eastAsia="zh-CN"/>
              </w:rPr>
              <m:t>R</m:t>
            </m:r>
            <m:ctrlPr>
              <w:rPr>
                <w:rFonts w:hint="default" w:ascii="Cambria Math" w:hAnsi="Cambria Math" w:cs="Times New Roman"/>
                <w:bCs w:val="0"/>
                <w:i/>
                <w:color w:val="auto"/>
                <w:sz w:val="24"/>
                <w:szCs w:val="24"/>
                <w:lang w:val="en-US"/>
              </w:rPr>
            </m:ctrlPr>
          </m:e>
          <m:sub>
            <m:r>
              <m:rPr>
                <m:nor/>
              </m:rPr>
              <w:rPr>
                <w:rFonts w:hint="default" w:ascii="Times New Roman" w:hAnsi="Times New Roman" w:cs="Times New Roman"/>
                <w:i/>
                <w:color w:val="auto"/>
                <w:sz w:val="24"/>
                <w:szCs w:val="24"/>
                <w:lang w:val="en-US" w:eastAsia="zh-CN"/>
              </w:rPr>
              <m:t>w</m:t>
            </m:r>
            <m:ctrlPr>
              <w:rPr>
                <w:rFonts w:hint="default" w:ascii="Cambria Math" w:hAnsi="Cambria Math" w:cs="Times New Roman"/>
                <w:bCs w:val="0"/>
                <w:i/>
                <w:color w:val="auto"/>
                <w:sz w:val="24"/>
                <w:szCs w:val="24"/>
                <w:lang w:val="en-US"/>
              </w:rPr>
            </m:ctrlPr>
          </m:sub>
        </m:sSub>
        <m:r>
          <m:rPr>
            <m:nor/>
            <m:sty m:val="p"/>
          </m:rPr>
          <w:rPr>
            <w:rFonts w:hint="default" w:ascii="Times New Roman" w:hAnsi="Times New Roman" w:cs="Times New Roman"/>
            <w:b w:val="0"/>
            <w:bCs w:val="0"/>
            <w:i w:val="0"/>
            <w:color w:val="auto"/>
            <w:sz w:val="24"/>
            <w:szCs w:val="24"/>
            <w:lang w:val="en-US"/>
          </w:rPr>
          <m:t>∈</m:t>
        </m:r>
        <m:d>
          <m:dPr>
            <m:begChr m:val="["/>
            <m:endChr m:val="]"/>
            <m:ctrlPr>
              <w:rPr>
                <w:rFonts w:hint="default" w:ascii="Cambria Math" w:hAnsi="Cambria Math" w:cs="Times New Roman"/>
                <w:bCs w:val="0"/>
                <w:i/>
                <w:color w:val="auto"/>
                <w:sz w:val="24"/>
                <w:szCs w:val="24"/>
                <w:lang w:val="en-US"/>
              </w:rPr>
            </m:ctrlPr>
          </m:dPr>
          <m:e>
            <m:r>
              <m:rPr>
                <m:nor/>
                <m:sty m:val="p"/>
              </m:rPr>
              <w:rPr>
                <w:rFonts w:hint="default" w:ascii="Times New Roman" w:hAnsi="Times New Roman" w:cs="Times New Roman"/>
                <w:b w:val="0"/>
                <w:bCs w:val="0"/>
                <w:i w:val="0"/>
                <w:color w:val="auto"/>
                <w:sz w:val="24"/>
                <w:szCs w:val="24"/>
                <w:lang w:val="en-US" w:eastAsia="zh-CN"/>
              </w:rPr>
              <m:t>0, 1</m:t>
            </m:r>
            <m:ctrlPr>
              <w:rPr>
                <w:rFonts w:hint="default" w:ascii="Cambria Math" w:hAnsi="Cambria Math" w:cs="Times New Roman"/>
                <w:bCs w:val="0"/>
                <w:i/>
                <w:color w:val="auto"/>
                <w:sz w:val="24"/>
                <w:szCs w:val="24"/>
                <w:lang w:val="en-US"/>
              </w:rPr>
            </m:ctrlPr>
          </m:e>
        </m:d>
      </m:oMath>
      <w:r>
        <w:rPr>
          <w:rFonts w:hint="default" w:ascii="Times New Roman" w:hAnsi="Times New Roman" w:eastAsia="Times New Roman" w:cs="Times New Roman"/>
          <w:i w:val="0"/>
          <w:sz w:val="24"/>
          <w:szCs w:val="24"/>
        </w:rPr>
        <w:t xml:space="preserve"> by construction, and cross-scenario comparison is made only through the within-scenario EWM-versus-baseline change (Section 2.4.3).</w:t>
      </w:r>
    </w:p>
    <w:p w14:paraId="3B3666B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4. The gap between the two metrics is treated as a result rather than a concealment</w:t>
      </w:r>
    </w:p>
    <w:p w14:paraId="7C2CDAF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The two metrics are complementary rather than redundant, because Service time measures pressure compliance and Service value measures delivery weighted by timing. In the canonical scenario, the Service time extension of 67.</w:t>
      </w:r>
      <w:r>
        <w:rPr>
          <w:rFonts w:hint="eastAsia" w:ascii="Times New Roman" w:hAnsi="Times New Roman" w:cs="Times New Roman"/>
          <w:i w:val="0"/>
          <w:sz w:val="24"/>
          <w:szCs w:val="24"/>
          <w:lang w:val="en-US" w:eastAsia="zh-CN"/>
        </w:rPr>
        <w:t>4</w:t>
      </w:r>
      <w:r>
        <w:rPr>
          <w:rFonts w:hint="default" w:ascii="Times New Roman" w:hAnsi="Times New Roman" w:eastAsia="Times New Roman" w:cs="Times New Roman"/>
          <w:i w:val="0"/>
          <w:sz w:val="24"/>
          <w:szCs w:val="24"/>
        </w:rPr>
        <w:t>% (from 6.17 to 10.33 h) exceeds the Service value improvement of 2</w:t>
      </w:r>
      <w:r>
        <w:rPr>
          <w:rFonts w:hint="eastAsia" w:ascii="Times New Roman" w:hAnsi="Times New Roman" w:cs="Times New Roman"/>
          <w:i w:val="0"/>
          <w:sz w:val="24"/>
          <w:szCs w:val="24"/>
          <w:lang w:val="en-US" w:eastAsia="zh-CN"/>
        </w:rPr>
        <w:t>2</w:t>
      </w:r>
      <w:r>
        <w:rPr>
          <w:rFonts w:hint="default" w:ascii="Times New Roman" w:hAnsi="Times New Roman" w:eastAsia="Times New Roman" w:cs="Times New Roman"/>
          <w:i w:val="0"/>
          <w:sz w:val="24"/>
          <w:szCs w:val="24"/>
        </w:rPr>
        <w:t>.</w:t>
      </w:r>
      <w:r>
        <w:rPr>
          <w:rFonts w:hint="eastAsia" w:ascii="Times New Roman" w:hAnsi="Times New Roman" w:cs="Times New Roman"/>
          <w:i w:val="0"/>
          <w:sz w:val="24"/>
          <w:szCs w:val="24"/>
          <w:lang w:val="en-US" w:eastAsia="zh-CN"/>
        </w:rPr>
        <w:t>9</w:t>
      </w:r>
      <w:r>
        <w:rPr>
          <w:rFonts w:hint="default" w:ascii="Times New Roman" w:hAnsi="Times New Roman" w:eastAsia="Times New Roman" w:cs="Times New Roman"/>
          <w:i w:val="0"/>
          <w:sz w:val="24"/>
          <w:szCs w:val="24"/>
        </w:rPr>
        <w:t xml:space="preserve">% (from 0.50 to 0.61 against the shared storage value ceiling of 1,503.4 m³·pattern, that is, from 49.6% to 60.9% of the captured value potential). This gap is itself reported and interpreted: it quantifies how much of the pressure-domain gain reflects longer delivery at curtailed rates rather than additional water, with total throughput nearly unchanged at −0.6% and the weighted delivered service </w:t>
      </w:r>
      <m:oMath>
        <m:r>
          <m:rPr/>
          <w:rPr>
            <w:rFonts w:hint="default" w:ascii="Cambria Math" w:hAnsi="Cambria Math" w:cs="Cambria Math"/>
            <w:color w:val="auto"/>
            <w:sz w:val="24"/>
            <w:szCs w:val="24"/>
            <w:lang w:val="en-US" w:eastAsia="zh-CN"/>
          </w:rPr>
          <m:t>W</m:t>
        </m:r>
      </m:oMath>
      <w:r>
        <w:rPr>
          <w:rFonts w:hint="default" w:ascii="Times New Roman" w:hAnsi="Times New Roman" w:eastAsia="Times New Roman" w:cs="Times New Roman"/>
          <w:i w:val="0"/>
          <w:sz w:val="24"/>
          <w:szCs w:val="24"/>
        </w:rPr>
        <w:t xml:space="preserve">rising from 745.3 to 916.2 m³·pattern. The dual accounting of pressure compliance and delivered service follows recent evaluations of water-cutoff response measures using pressure-driven analysis (Madiziyire et al., 2025). The reporting rules of Section 2.4.3 further assign each metric a defined role: </w:t>
      </w:r>
      <m:oMath>
        <m:sSub>
          <m:sSubPr>
            <m:ctrlPr>
              <w:rPr>
                <w:rFonts w:ascii="Cambria Math" w:hAnsi="Cambria Math" w:cs="Times New Roman"/>
                <w:bCs w:val="0"/>
                <w:i/>
                <w:color w:val="auto"/>
                <w:sz w:val="24"/>
                <w:szCs w:val="24"/>
                <w:lang w:val="en-US"/>
              </w:rPr>
            </m:ctrlPr>
          </m:sSubPr>
          <m:e>
            <m:r>
              <m:rPr/>
              <w:rPr>
                <w:rFonts w:hint="default" w:ascii="Cambria Math" w:hAnsi="Cambria Math" w:cs="Times New Roman"/>
                <w:color w:val="auto"/>
                <w:sz w:val="24"/>
                <w:szCs w:val="24"/>
                <w:lang w:val="en-US" w:eastAsia="zh-CN"/>
              </w:rPr>
              <m:t>T</m:t>
            </m:r>
            <m:ctrlPr>
              <w:rPr>
                <w:rFonts w:ascii="Cambria Math" w:hAnsi="Cambria Math" w:cs="Times New Roman"/>
                <w:bCs w:val="0"/>
                <w:i/>
                <w:color w:val="auto"/>
                <w:sz w:val="24"/>
                <w:szCs w:val="24"/>
                <w:lang w:val="en-US"/>
              </w:rPr>
            </m:ctrlPr>
          </m:e>
          <m:sub>
            <m:r>
              <m:rPr/>
              <w:rPr>
                <w:rFonts w:hint="default" w:ascii="Cambria Math" w:hAnsi="Cambria Math" w:cs="Times New Roman"/>
                <w:color w:val="auto"/>
                <w:sz w:val="24"/>
                <w:szCs w:val="24"/>
                <w:lang w:val="en-US" w:eastAsia="zh-CN"/>
              </w:rPr>
              <m:t>press</m:t>
            </m:r>
            <m:ctrlPr>
              <w:rPr>
                <w:rFonts w:ascii="Cambria Math" w:hAnsi="Cambria Math" w:cs="Times New Roman"/>
                <w:bCs w:val="0"/>
                <w:i/>
                <w:color w:val="auto"/>
                <w:sz w:val="24"/>
                <w:szCs w:val="24"/>
                <w:lang w:val="en-US"/>
              </w:rPr>
            </m:ctrlPr>
          </m:sub>
        </m:sSub>
      </m:oMath>
      <w:r>
        <w:rPr>
          <w:rFonts w:hint="default" w:ascii="Times New Roman" w:hAnsi="Times New Roman" w:eastAsia="Times New Roman" w:cs="Times New Roman"/>
          <w:i w:val="0"/>
          <w:sz w:val="24"/>
          <w:szCs w:val="24"/>
        </w:rPr>
        <w:t xml:space="preserve"> serves as the robustness metric scanned across the four sensitivity dimensions (Section 3.4), whereas </w:t>
      </w:r>
      <m:oMath>
        <m:sSub>
          <m:sSubPr>
            <m:ctrlPr>
              <w:rPr>
                <w:rFonts w:ascii="Cambria Math" w:hAnsi="Cambria Math" w:cs="Times New Roman"/>
                <w:bCs w:val="0"/>
                <w:i/>
                <w:color w:val="auto"/>
                <w:sz w:val="24"/>
                <w:szCs w:val="24"/>
                <w:lang w:val="en-US"/>
              </w:rPr>
            </m:ctrlPr>
          </m:sSubPr>
          <m:e>
            <m:r>
              <m:rPr/>
              <w:rPr>
                <w:rFonts w:hint="default" w:ascii="Cambria Math" w:hAnsi="Cambria Math" w:cs="Times New Roman"/>
                <w:color w:val="auto"/>
                <w:sz w:val="24"/>
                <w:szCs w:val="24"/>
                <w:lang w:val="en-US" w:eastAsia="zh-CN"/>
              </w:rPr>
              <m:t>R</m:t>
            </m:r>
            <m:ctrlPr>
              <w:rPr>
                <w:rFonts w:ascii="Cambria Math" w:hAnsi="Cambria Math" w:cs="Times New Roman"/>
                <w:bCs w:val="0"/>
                <w:i/>
                <w:color w:val="auto"/>
                <w:sz w:val="24"/>
                <w:szCs w:val="24"/>
                <w:lang w:val="en-US"/>
              </w:rPr>
            </m:ctrlPr>
          </m:e>
          <m:sub>
            <m:r>
              <m:rPr/>
              <w:rPr>
                <w:rFonts w:hint="default" w:ascii="Cambria Math" w:hAnsi="Cambria Math" w:cs="Times New Roman"/>
                <w:color w:val="auto"/>
                <w:sz w:val="24"/>
                <w:szCs w:val="24"/>
                <w:lang w:val="en-US" w:eastAsia="zh-CN"/>
              </w:rPr>
              <m:t>w</m:t>
            </m:r>
            <m:ctrlPr>
              <w:rPr>
                <w:rFonts w:ascii="Cambria Math" w:hAnsi="Cambria Math" w:cs="Times New Roman"/>
                <w:bCs w:val="0"/>
                <w:i/>
                <w:color w:val="auto"/>
                <w:sz w:val="24"/>
                <w:szCs w:val="24"/>
                <w:lang w:val="en-US"/>
              </w:rPr>
            </m:ctrlPr>
          </m:sub>
        </m:sSub>
      </m:oMath>
      <w:r>
        <w:rPr>
          <w:rFonts w:hint="default" w:ascii="Times New Roman" w:hAnsi="Times New Roman" w:eastAsia="Times New Roman" w:cs="Times New Roman"/>
          <w:i w:val="0"/>
          <w:sz w:val="24"/>
          <w:szCs w:val="24"/>
        </w:rPr>
        <w:t xml:space="preserve"> is reported for the canonical alignment and interpreted as the fraction of the storage value potential actually captured.</w:t>
      </w:r>
    </w:p>
    <w:p w14:paraId="5DB4724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Pr>
        <w:t>Comment 4: Cyber-Physical Contribution and Time-Difference Buffer Attribution</w:t>
      </w:r>
    </w:p>
    <w:p w14:paraId="58079E7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4C5C8F8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cyber-physical contribution is not fully operationalized in the model. The manuscript describes a three-layer CPS architecture with PLCs, SCADA, gateway, and sensing links, but the simulation seems to use the cyber layer mainly for threshold-based classification. There is no clear modeling of communication delay, sensing error, packet loss, PLC behavior, or feedback control. Therefore, the “time-difference buffer” seems to come mainly from physical tank storage rather than from a modeled cyber-physical mechanism.</w:t>
      </w:r>
    </w:p>
    <w:p w14:paraId="5262686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21CFBF5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We thank the Reviewer for pressing the attribution of the time difference window, which is the central claim of the paper. We agree that the original text could be read as a claim about SCADA/PLC dynamics, because it described a hardware inventory (eight PLCs, one gateway, a star-topology communication network) that the simulation did not exercise, while leaving the control action following each warning state unspecified. That is not the claim of this paper. The revision removes the ambiguity in four ways: the cyber layer is operationalized as an executable closed control loop rather than a classification stage; PLC behavior is modeled and the unmodeled cyber phenomena are declared as scoped assumptions with impact bounds; a dedicated subsection attributes the time difference window to the loop through a counterfactual comparison; and the coupling layer is documented as the element that makes the mechanism measurable, auditable, and extensible.</w:t>
      </w:r>
    </w:p>
    <w:p w14:paraId="3D309E9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1. The cyber layer is operationalized as an executable closed loop rather than a classification stage</w:t>
      </w:r>
    </w:p>
    <w:p w14:paraId="0C0F191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Section 2.2.2 now opens with the statement that the EWM is an active control law rather than a passive alarm system: each risk state is bound to a demand-side action that is executed at the next control step (Table 1). Section 2.3 documents the platform used for closed-loop evaluation through the sequential execution protocol, in which each 300 s step executes four operations: (1) The WNTR kernel invokes EPANET 2.2 and writes the resulting states to the database. (2) The cyber module retrieves the states and performs risk assessment to determine the operational level. (3) State transitions are timestamped and the updated demand retention multiplier is issued. (4) The curtailment is applied to the scheduled demands of the next hydraulic solve." The loop proceeds to 72 h. This is feedback control at the platform's time resolution: the multiplier depends on the sensed state, and the next state depends on the multiplier. Accordingly, the revised description of the cyber module states what it executes, namely real-time state acquisition, the multi-stage risk assessment including the ratchet constraint, and the issuance of demand retention commands, rather than an inventory of hardware that the simulation does not exercise. The execution of the loop is verified in the results: in each segment "the delivered volume matches or slightly exceeds the scheduled curtailed demand, and the accumulated shortfall before outlet failure is 0 m³" (Section 3.2), and every arrow of the loop is exercised by a logged event, namely the escalations at 26.08, 28.00, and 30.83 h.</w:t>
      </w:r>
    </w:p>
    <w:p w14:paraId="63CFB38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p>
    <w:p w14:paraId="33D47D5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2. PLC behavior is modeled, and the unmodeled cyber phenomena are declared as scoped assumptions</w:t>
      </w:r>
    </w:p>
    <w:p w14:paraId="45C0B33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 xml:space="preserve">Two of the five items listed by the Reviewer are in fact modeled in the revision. First, feedback control is modeled, as described under point 1. Second, PLC behavior is modeled: the local PLC logic is retained. Under normal pumping, the PLC refills the tanks by hysteresis, with pump activation at </w:t>
      </w:r>
      <m:oMath>
        <m:r>
          <m:rPr/>
          <w:rPr>
            <w:rFonts w:hint="default" w:ascii="Cambria Math" w:hAnsi="Cambria Math" w:eastAsia="Times New Roman" w:cs="Times New Roman"/>
            <w:kern w:val="2"/>
            <w:sz w:val="24"/>
            <w:szCs w:val="24"/>
            <w:lang w:val="en-US" w:eastAsia="zh-CN" w:bidi="ar-SA"/>
          </w:rPr>
          <m:t>H</m:t>
        </m:r>
        <m:r>
          <m:rPr/>
          <w:rPr>
            <w:rFonts w:hint="default" w:ascii="Cambria Math" w:hAnsi="Cambria Math" w:eastAsia="Times New Roman" w:cs="Cambria Math"/>
            <w:kern w:val="2"/>
            <w:sz w:val="24"/>
            <w:szCs w:val="24"/>
            <w:lang w:val="en-US" w:eastAsia="zh-CN" w:bidi="ar-SA"/>
          </w:rPr>
          <m:t>&lt;</m:t>
        </m:r>
        <m:r>
          <m:rPr/>
          <w:rPr>
            <w:rFonts w:hint="default" w:ascii="Cambria Math" w:hAnsi="Cambria Math" w:eastAsia="Times New Roman" w:cs="Times New Roman"/>
            <w:kern w:val="2"/>
            <w:sz w:val="24"/>
            <w:szCs w:val="24"/>
            <w:lang w:val="en-US" w:eastAsia="zh-CN" w:bidi="ar-SA"/>
          </w:rPr>
          <m:t>5.0</m:t>
        </m:r>
      </m:oMath>
      <w:r>
        <w:rPr>
          <w:rFonts w:hint="default" w:ascii="Times New Roman" w:hAnsi="Times New Roman" w:eastAsia="Times New Roman" w:cs="Times New Roman"/>
          <w:i w:val="0"/>
          <w:sz w:val="24"/>
          <w:szCs w:val="24"/>
        </w:rPr>
        <w:t xml:space="preserve"> m and shutdown at </w:t>
      </w:r>
      <m:oMath>
        <m:r>
          <m:rPr/>
          <w:rPr>
            <w:rFonts w:hint="default" w:ascii="Cambria Math" w:hAnsi="Cambria Math" w:cs="Times New Roman"/>
            <w:kern w:val="2"/>
            <w:sz w:val="24"/>
            <w:szCs w:val="24"/>
            <w:lang w:val="en-US" w:eastAsia="zh-CN" w:bidi="ar-SA"/>
          </w:rPr>
          <m:t>H</m:t>
        </m:r>
        <m:r>
          <m:rPr/>
          <w:rPr>
            <w:rFonts w:hint="default" w:ascii="Cambria Math" w:hAnsi="Cambria Math" w:cs="Cambria Math"/>
            <w:kern w:val="2"/>
            <w:sz w:val="24"/>
            <w:szCs w:val="24"/>
            <w:lang w:val="en-US" w:eastAsia="zh-CN" w:bidi="ar-SA"/>
          </w:rPr>
          <m:t>&gt;</m:t>
        </m:r>
        <m:r>
          <m:rPr/>
          <w:rPr>
            <w:rFonts w:hint="default" w:ascii="Cambria Math" w:hAnsi="Cambria Math" w:cs="Times New Roman"/>
            <w:kern w:val="2"/>
            <w:sz w:val="24"/>
            <w:szCs w:val="24"/>
            <w:lang w:val="en-US" w:eastAsia="zh-CN" w:bidi="ar-SA"/>
          </w:rPr>
          <m:t>8.0</m:t>
        </m:r>
      </m:oMath>
      <w:r>
        <w:rPr>
          <w:rFonts w:hint="default" w:ascii="Times New Roman" w:hAnsi="Times New Roman" w:eastAsia="Times New Roman" w:cs="Times New Roman"/>
          <w:i w:val="0"/>
          <w:sz w:val="24"/>
          <w:szCs w:val="24"/>
        </w:rPr>
        <w:t xml:space="preserve"> m. Demand-side management is initiated only after a confirmed pump trip, so routine level fluctuations never trigger curtailment" (Section 2.2.2); the fault itself is imposed as a physical SCADA override (</w:t>
      </w:r>
      <m:oMath>
        <m:sSub>
          <m:sSubPr>
            <m:ctrlPr>
              <w:rPr>
                <w:rFonts w:ascii="Cambria Math" w:hAnsi="Cambria Math" w:cs="Times New Roman"/>
                <w:i/>
                <w:sz w:val="24"/>
                <w:szCs w:val="24"/>
              </w:rPr>
            </m:ctrlPr>
          </m:sSubPr>
          <m:e>
            <m:r>
              <m:rPr/>
              <w:rPr>
                <w:rFonts w:hint="default" w:ascii="Cambria Math" w:hAnsi="Cambria Math" w:cs="Times New Roman"/>
                <w:sz w:val="24"/>
                <w:szCs w:val="24"/>
                <w:lang w:val="en-US" w:eastAsia="zh-CN"/>
              </w:rPr>
              <m:t>S</m:t>
            </m:r>
            <m:ctrlPr>
              <w:rPr>
                <w:rFonts w:ascii="Cambria Math" w:hAnsi="Cambria Math" w:cs="Times New Roman"/>
                <w:i/>
                <w:sz w:val="24"/>
                <w:szCs w:val="24"/>
              </w:rPr>
            </m:ctrlPr>
          </m:e>
          <m:sub>
            <m:r>
              <m:rPr/>
              <w:rPr>
                <w:rFonts w:hint="default" w:ascii="Cambria Math" w:hAnsi="Cambria Math" w:cs="Times New Roman"/>
                <w:sz w:val="24"/>
                <w:szCs w:val="24"/>
                <w:lang w:val="en-US" w:eastAsia="zh-CN"/>
              </w:rPr>
              <m:t>pump</m:t>
            </m:r>
            <m:ctrlPr>
              <w:rPr>
                <w:rFonts w:ascii="Cambria Math" w:hAnsi="Cambria Math" w:cs="Times New Roman"/>
                <w:i/>
                <w:sz w:val="24"/>
                <w:szCs w:val="24"/>
              </w:rPr>
            </m:ctrlPr>
          </m:sub>
        </m:sSub>
        <m:r>
          <m:rPr/>
          <w:rPr>
            <w:rFonts w:hint="default" w:ascii="Cambria Math" w:hAnsi="Cambria Math" w:cs="Cambria Math"/>
            <w:sz w:val="24"/>
            <w:szCs w:val="24"/>
          </w:rPr>
          <m:t>=</m:t>
        </m:r>
        <m:r>
          <m:rPr/>
          <w:rPr>
            <w:rFonts w:hint="default" w:ascii="Cambria Math" w:hAnsi="Cambria Math" w:cs="Times New Roman"/>
            <w:sz w:val="24"/>
            <w:szCs w:val="24"/>
            <w:lang w:val="en-US" w:eastAsia="zh-CN"/>
          </w:rPr>
          <m:t>0</m:t>
        </m:r>
      </m:oMath>
      <w:r>
        <w:rPr>
          <w:rFonts w:hint="default" w:ascii="Times New Roman" w:hAnsi="Times New Roman" w:eastAsia="Times New Roman" w:cs="Times New Roman"/>
          <w:i w:val="0"/>
          <w:sz w:val="24"/>
          <w:szCs w:val="24"/>
        </w:rPr>
        <w:t>, Section 2.2.1). The remaining three items, communication delay, sensing error, and packet loss, are deliberately not modeled, and the revision now says so explicitly instead of leaving the boundary implicit: Section 2.5 and Supplementary Table S1 declare assumption A3 (error-free and continuous sensing; practical impact: measurement noise or drift could shift trigger times by minutes; mitigation: Kalman filtering and redundant sensing) and assumption A4 (zero latency and no packet loss; practical impact: delayed curtailment commands on the order of seconds to minutes; mitigation: edge-computing PLCs with autonomous threshold evaluation), together with A1 (the fixed 300 s step) and A11 (binary pump control). Section 2.5 also states the direction of these simplifications: they "act against the intervention rather than in its favour," so the reported gains are conservative. The claim of the paper is thereby scoped precisely: it concerns the information-mediated control loop of sensing, decision, and actuation, not the communication physics of SCADA networks.</w:t>
      </w:r>
    </w:p>
    <w:p w14:paraId="2C51A6D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b/>
          <w:bCs/>
          <w:i w:val="0"/>
          <w:sz w:val="24"/>
          <w:szCs w:val="24"/>
        </w:rPr>
        <w:t>3. A dedicated subsection attributes the time difference window to the loop through a counterfactual</w:t>
      </w:r>
    </w:p>
    <w:p w14:paraId="424C870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A new subsection, Section 4.2 Cyber-Physical Systems Mechanism, now addresses the attribution question directly. Its opening sentence separates the two candidate sources: "The tank storage is the source of the water, but the time difference window itself is produced by the cyber-physical loop." The subsection decomposes the linkage into four functional stages mapped onto the three layers: sensing and control are two functions of the cyber layer; the coupling layer, the time-synchronized database, timestamps every state and exposes it to the decision module; and the physical layer executes the curtailment, whose resulting state closes the loop. The causal claim is then isolated by a counterfactual: "With identical storage, hydraulics, and protection rules, the network without the loop exhausts its storage at 30.17 h, whereas the network with the loop exhausts it at 34.33 h. The 4.1</w:t>
      </w:r>
      <w:r>
        <w:rPr>
          <w:rFonts w:hint="eastAsia" w:ascii="Times New Roman" w:hAnsi="Times New Roman" w:cs="Times New Roman"/>
          <w:i w:val="0"/>
          <w:sz w:val="24"/>
          <w:szCs w:val="24"/>
          <w:lang w:val="en-US" w:eastAsia="zh-CN"/>
        </w:rPr>
        <w:t>6</w:t>
      </w:r>
      <w:r>
        <w:rPr>
          <w:rFonts w:hint="default" w:ascii="Times New Roman" w:hAnsi="Times New Roman" w:eastAsia="Times New Roman" w:cs="Times New Roman"/>
          <w:i w:val="0"/>
          <w:sz w:val="24"/>
          <w:szCs w:val="24"/>
        </w:rPr>
        <w:t xml:space="preserve"> h window is therefore information mediated." Storage provides the physical capacity over which the intervention operates, whereas the warning-informed control determines how that capacity is allocated during the failure process (Section 5). The revised manuscript states that this "addresses the concern, raised for cyber-physical water studies generally, that timing benefits may derive from physical storage alone." In line with the unified terminology, the concept is now consistently named the time difference window and is defined at first use in the Introduction as "the extra service time obtained by intervening in a slow hydraulic degradation process through rapid cyber observation."</w:t>
      </w:r>
    </w:p>
    <w:p w14:paraId="7D1F5D16">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b/>
          <w:bCs/>
          <w:i w:val="0"/>
          <w:sz w:val="24"/>
          <w:szCs w:val="24"/>
        </w:rPr>
      </w:pPr>
      <w:r>
        <w:rPr>
          <w:rFonts w:hint="default" w:ascii="Times New Roman" w:hAnsi="Times New Roman" w:eastAsia="Times New Roman" w:cs="Times New Roman"/>
          <w:b/>
          <w:bCs/>
          <w:i w:val="0"/>
          <w:sz w:val="24"/>
          <w:szCs w:val="24"/>
        </w:rPr>
        <w:t xml:space="preserve">4. The coupling layer makes the mechanism measurable, auditable, and extensible </w:t>
      </w:r>
    </w:p>
    <w:p w14:paraId="78C4BE7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eastAsia="Times New Roman" w:cs="Times New Roman"/>
          <w:i w:val="0"/>
          <w:sz w:val="24"/>
          <w:szCs w:val="24"/>
        </w:rPr>
      </w:pPr>
      <w:r>
        <w:rPr>
          <w:rFonts w:hint="default" w:ascii="Times New Roman" w:hAnsi="Times New Roman" w:eastAsia="Times New Roman" w:cs="Times New Roman"/>
          <w:i w:val="0"/>
          <w:sz w:val="24"/>
          <w:szCs w:val="24"/>
        </w:rPr>
        <w:t>The distinctive cyber-physical element of the platform is the coupling layer, and its role is now documented in operational terms. Because every state transition is timestamped in the database, the time difference window is measured directly from the event logs rather than reconstructed externally, and "the mass balance audit is a direct output of the database rather than external bookkeeping" (Section 4.2). This auditability also has a security dimension: stealthy deception attacks on water SCADA telemetry have been demonstrated experimentally (Amin et al., 2013), and a coupling layer that timestamps every state transition provides the traceability needed to detect inconsistent sensing and control histories. Finally, the same structure defines the operationalization pathway: because the physical and cyber domains interact only through the time-synchronized database, the simulated telemetry can be replaced by live SCADA feeds without structural change (Section 4.4), on the basis of which dynamic threshold adjustment becomes a concrete receding-horizon procedure in which a state estimator updates the storage trajectory, a demand forecast projects the depletion rate, and the warning thresholds are recomputed online. The modeled cyber-physical mechanism is thus not an endpoint but the auditable core of a deployable digital-twin extension.</w:t>
      </w:r>
    </w:p>
    <w:p w14:paraId="0A1561F5">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Pr>
        <w:t>Comment 5: Sensitivity Analysis and Operational Boundaries</w:t>
      </w:r>
    </w:p>
    <w:p w14:paraId="64A2C2F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64CAAFB0">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The evidence is based on a single deterministic scenario with fixed thresholds. The risk thresholds for tank levels and the specific water-source interruption case strongly determine the transition times and $\Delta T$ values, but the manuscript does not show whether the conclusions are robust to different demand patterns, thresholds, tank sizes, or failure assumptions. This limits the generality of the reported resilience improvement.</w:t>
      </w:r>
    </w:p>
    <w:p w14:paraId="1B36F16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6A39B939">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We accept this limitation as stated for the original manuscript, which evaluated a single deterministic scenario with one fixed threshold configuration, so the generality of the reported improvement was not demonstrated. The revision adds a dedicated sensitivity experimental design (Section 2.2.4) and a full robustness analysis (Section 3.4, Fig. 6), reported under rules that remove alignment artifacts between the fault onset and the demand pattern (Section 2.4.3). The robustness question raised by the Reviewer is thereby answered within a declared experimental space, and the boundaries of that space are stated explicitly.</w:t>
      </w:r>
    </w:p>
    <w:p w14:paraId="631E1EE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1. A dedicated experimental design scans the four dimensions identified by the Reviewer</w:t>
      </w:r>
    </w:p>
    <w:p w14:paraId="7CF77DE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One-factor scans are conducted across four dimensions: the warning threshold design (D1 to D5, from late and liberal to early and conservative triggering), the tank diameter (0.6× to 1.4× of the baseline, i.e. tank sizes), the outage duration (12 to 48 h, i.e. failure assumptions), and the relative demand load (0.6× to 1.4×). Each configuration is evaluated at four fault onset phases (0, 6, 12, and 18 h offsets against the 3 h demand blocks), which yields 264 paired runs. The threshold configuration of the canonical scenario, the symmetric design D3, is thereby treated as one point inside a scanned family rather than as a fixed premise, and its selection basis is documented separately in Section 2.2.3.</w:t>
      </w:r>
    </w:p>
    <w:p w14:paraId="7D5BB16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2. The sign of the Service time gain is robust across all four dimensions</w:t>
      </w:r>
    </w:p>
    <w:p w14:paraId="565CD2C2">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The phase-averaged results show that the benefit remains positive throughout the scanned space. Across threshold designs, the EWM Service time increases monotonically from 7.54 h under the latest liberal design D1 to 10.94 h under the earliest conservative design D5, whereas the baseline stays at 4.27 h because the threshold designs affect only the EWM logic; D3 is therefore a balanced compromise rather than a sharp optimum. Across tank scales, the gain grows as passive storage becomes less adequate, from +1.98 h at a diameter of 0.6× to +10.10 h at 1.4×; under the most storage-constrained condition the EWM more than doubles the Service time from 1.44 h to 3.42 h. Across outage durations, the baseline Service time saturates at 4.27 h for outages of 16 h and longer, because the tanks are fully drained before the outage ends, whereas the EWM gain remains stable at about +5.1 h. Across demand loads, the gain stays positive over the full 0.6× to 1.4× range, rising from 5.58 h to 14.19 h at a load of 0.6× and from 2.73 h to 6.40 h at 1.4×, with the largest relative extension under light load. All values are phase averaged over the four fault onset offsets, with per-phase minimum-to-maximum ranges disclosed as error bars in Fig. 6.</w:t>
      </w:r>
    </w:p>
    <w:p w14:paraId="2163AC88">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3. The onset-phase design directly addresses the case dependence of the transition times</w:t>
      </w:r>
    </w:p>
    <w:p w14:paraId="611E565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The Reviewer notes that the specific interruption case strongly determines the transition times. The revision probes exactly this dependence: the four fault onset phases shift the outage against the 3 h demand blocks, and the reporting rule of Section 2.4.3 states that sensitivity results are phase averaged with per-phase ranges disclosed, "which eliminates alignment artifacts between the fault onset and the 3 h demand blocks." The conclusions therefore do not rest on a single alignment of fault and demand pattern. In the same spirit, the former Δ</w:t>
      </w:r>
      <w:r>
        <w:rPr>
          <w:rFonts w:hint="default" w:ascii="Times New Roman" w:hAnsi="Times New Roman" w:cs="Times New Roman"/>
          <w:i/>
          <w:iCs/>
          <w:sz w:val="24"/>
          <w:szCs w:val="24"/>
        </w:rPr>
        <w:t>T</w:t>
      </w:r>
      <w:r>
        <w:rPr>
          <w:rFonts w:hint="default" w:ascii="Times New Roman" w:hAnsi="Times New Roman" w:cs="Times New Roman"/>
          <w:sz w:val="24"/>
          <w:szCs w:val="24"/>
        </w:rPr>
        <w:t xml:space="preserve"> reporting has been replaced by the Service time metric, whose gain is reported for each scanned configuration rather than for the canonical case alone.</w:t>
      </w:r>
    </w:p>
    <w:p w14:paraId="113DC1C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4. Thresholds are calibratable parameters, and the remaining scope is declared</w:t>
      </w:r>
    </w:p>
    <w:p w14:paraId="1A26D87E">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Section 4.3 discusses the engineering content of the scan: the graded thresholds are "calibratable operating parameters rather than universal constants," earlier curtailment extends the EWM Service time monotonically but sheds demand earlier and longer, so utilities face an explicit trade-off between extension and acceptability, and calibration parallels the established practice of adjusting demand multipliers to local monitoring data rather than transferring them between networks (Do et al., 2016; Creaco et al., 2020; Chew et al., 2022). The generality claim is correspondingly bounded. Within the scanned space, the claim is that the sign of the Service time gain is robust; its magnitude is network specific. Outside the scanned space, two boundaries are declared rather than assumed away: the outage remains a deterministic step function, so partial or cascading failures are covered by assumption A9 only through the duration scan, and demands are "static in pattern," whereas real customers respond to curtailment with behavioral adaptation and rebound (Section 4.4). These boundaries are stated in the manuscript as limitations of the generality claim.</w:t>
      </w:r>
    </w:p>
    <w:p w14:paraId="1FF9257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sz w:val="24"/>
          <w:szCs w:val="24"/>
        </w:rPr>
        <w:t>Comment 6: Clarification of Tank State Durations and Numerical Consistency</w:t>
      </w:r>
    </w:p>
    <w:p w14:paraId="0632ABE4">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Reviewer Comment:</w:t>
      </w:r>
    </w:p>
    <w:p w14:paraId="59ED5DD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i/>
          <w:sz w:val="24"/>
          <w:szCs w:val="24"/>
        </w:rPr>
        <w:t>Some reported results require further clarification. For example, Table 2 reports very similar state-duration values for T1 and T2, although the two tanks are located in different parts of the network. The abstract also reports the failure-duration reduction using a single value, while the table appears to contain separate values for the two tanks. These details make the numerical evidence less clear.</w:t>
      </w:r>
    </w:p>
    <w:p w14:paraId="6C25BB77">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4"/>
          <w:szCs w:val="24"/>
        </w:rPr>
      </w:pPr>
      <w:r>
        <w:rPr>
          <w:rFonts w:hint="default" w:ascii="Times New Roman" w:hAnsi="Times New Roman" w:eastAsia="Times New Roman" w:cs="Times New Roman"/>
          <w:b/>
          <w:i w:val="0"/>
          <w:sz w:val="24"/>
          <w:szCs w:val="24"/>
        </w:rPr>
        <w:t>Author Response:</w:t>
      </w:r>
    </w:p>
    <w:p w14:paraId="03C43FE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2"/>
          <w:highlight w:val="none"/>
        </w:rPr>
      </w:pPr>
      <w:r>
        <w:rPr>
          <w:rFonts w:hint="default" w:ascii="Times New Roman" w:hAnsi="Times New Roman" w:cs="Times New Roman"/>
          <w:sz w:val="22"/>
          <w:highlight w:val="none"/>
        </w:rPr>
        <w:t>We agree that the numerical presentation in the original manuscript was unclear. The original Table 2 reported near-identical state durations for T1 and T2 (for example, outlet failure durations of 18.42 h and 18.50 h) without explaining the physical cause of the similarity, and the original abstract compressed the failure-duration reduction into a single value (a 34.70% reduction, from 18.50 h to 12.08 h) while the table reported per-tank values. The revision resolves both issues: the similarity of the two tanks is now explained as a physical consequence of hydraulic symmetry, the reporting is unified so that every failure-duration value is stated together with its per-tank validity, and the numerical chain is made internally consistent and auditable.</w:t>
      </w:r>
    </w:p>
    <w:p w14:paraId="7A16FB5F">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2"/>
          <w:highlight w:val="none"/>
        </w:rPr>
      </w:pPr>
      <w:r>
        <w:rPr>
          <w:rFonts w:hint="default" w:ascii="Times New Roman" w:hAnsi="Times New Roman" w:cs="Times New Roman"/>
          <w:b/>
          <w:bCs/>
          <w:sz w:val="22"/>
          <w:highlight w:val="none"/>
        </w:rPr>
        <w:t xml:space="preserve">1. The similarity of T1 and T2 is a physical result of hydraulic symmetry, not an artifact </w:t>
      </w:r>
    </w:p>
    <w:p w14:paraId="70762723">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2"/>
          <w:highlight w:val="none"/>
        </w:rPr>
      </w:pPr>
      <w:r>
        <w:rPr>
          <w:rFonts w:hint="default" w:ascii="Times New Roman" w:hAnsi="Times New Roman" w:cs="Times New Roman"/>
          <w:sz w:val="22"/>
          <w:highlight w:val="none"/>
        </w:rPr>
        <w:t>Although the two tanks sit on opposite sides of the network, their drawdown is equalized by the looped topology. Section 2.1 documents that they share identical hydraulic settings, with a base elevation of 66.54 m, an internal diameter of 9.95 m, a maximum water depth of 10.67 m, and an initial level of 3.051 m, so that they operate as hydraulically parallel units whose drawdown is equalized by the looped topology. Section 3.1 quantifies the consequence: after the pumps trip, "the tanks drain in parallel and their levels remain within 0.29 m, averaging 0.09 m over the outage," and both tanks close their outlets at 30.17 h in the same 300 s step, with within-step interpolation giving a stagger of only 2.6 min. The revised manuscript states that the simultaneity is therefore a physical result of symmetric drawdown rather than a modeling artifact. Assumption A8 in Supplementary Table S1 declares this symmetry explicitly, notes that site-specific asymmetries would stagger the two isolations, and lists network-specific calibration and per-tank reporting as the mitigation.</w:t>
      </w:r>
    </w:p>
    <w:p w14:paraId="2C0F3B91">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2"/>
          <w:highlight w:val="none"/>
        </w:rPr>
      </w:pPr>
      <w:r>
        <w:rPr>
          <w:rFonts w:hint="default" w:ascii="Times New Roman" w:hAnsi="Times New Roman" w:cs="Times New Roman"/>
          <w:b/>
          <w:bCs/>
          <w:sz w:val="22"/>
          <w:highlight w:val="none"/>
        </w:rPr>
        <w:t>2. The reporting is unified and per-tank explicit</w:t>
      </w:r>
    </w:p>
    <w:p w14:paraId="1A6900CA">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2"/>
          <w:highlight w:val="none"/>
        </w:rPr>
      </w:pPr>
      <w:r>
        <w:rPr>
          <w:rFonts w:hint="default" w:ascii="Times New Roman" w:hAnsi="Times New Roman" w:cs="Times New Roman"/>
          <w:sz w:val="22"/>
          <w:highlight w:val="none"/>
        </w:rPr>
        <w:t>The revised abstract no longer compresses the failure-duration reduction into a single value; it states that the intervention "postpones outlet failure and extends emergency-grade supply" and leaves the quantitative statement to the results and conclusions. The quantitative statement is made once, in the Conclusions: "EWM postpones outlet failure from 30.17 h to 34.33 h in both parallel tanks and shortens the outlet failure duration within the fault window from 17.83 h to 13.67 h," in which the phrase "in both parallel tanks" makes the per-tank validity of the values explicit. The within-step stagggers are quantified in both cases, 2.6 min under No EWM and 1.6 min under EWM (Sections 3.1 and 3.2), so the reader can see the residual difference between the tanks instead of inferring it from a table. Per-tank trajectories are plotted separately in Figs. 3(a) and (b) for the baseline and in Figs. 4(b) and (c) for the comparison, and the former per-tank state-duration table has been removed: state durations are now reported in the text of Sections 3.1 and 3.2, and the only table in the main text is Table 1, the trigger logic of the EWM.</w:t>
      </w:r>
    </w:p>
    <w:p w14:paraId="3FFBEC0C">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b/>
          <w:bCs/>
          <w:sz w:val="22"/>
          <w:highlight w:val="none"/>
        </w:rPr>
      </w:pPr>
      <w:r>
        <w:rPr>
          <w:rFonts w:hint="default" w:ascii="Times New Roman" w:hAnsi="Times New Roman" w:cs="Times New Roman"/>
          <w:b/>
          <w:bCs/>
          <w:sz w:val="22"/>
          <w:highlight w:val="none"/>
        </w:rPr>
        <w:t>3. The numerical chain is internally consistent and auditable</w:t>
      </w:r>
    </w:p>
    <w:p w14:paraId="3A17D76D">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ind w:left="0" w:firstLine="0"/>
        <w:textAlignment w:val="auto"/>
        <w:rPr>
          <w:rFonts w:hint="default" w:ascii="Times New Roman" w:hAnsi="Times New Roman" w:cs="Times New Roman"/>
          <w:sz w:val="22"/>
          <w:highlight w:val="none"/>
        </w:rPr>
      </w:pPr>
      <w:r>
        <w:rPr>
          <w:rFonts w:hint="default" w:ascii="Times New Roman" w:hAnsi="Times New Roman" w:cs="Times New Roman"/>
          <w:sz w:val="22"/>
          <w:highlight w:val="none"/>
        </w:rPr>
        <w:t>All reported values are computed from the same time-synchronized database, so their mutual consistency can be checked directly. The outlet failure durations follow arithmetically from the failure times and the end of the fault window: 48 h − 30.17 h = 17.83 h under No EWM and 48 h − 34.33 h = 13.67 h under EWM, and these are the values reported for both tanks. The warning events are recorded with the tank that triggered each escalation, namely WARNING by T2 at 26.08 h, ALERT by T2 at 28.00 h, and CRITICAL by T1 at 30.83 h (Section 3.2, Fig. 4(a)), so per-tank differences remain visible in the decision trace rather than being averaged away. Together with the mass balance audit (</w:t>
      </w:r>
      <m:oMath>
        <m:r>
          <m:rPr/>
          <w:rPr>
            <w:rFonts w:ascii="Cambria Math" w:hAnsi="Cambria Math" w:cs="Times New Roman"/>
            <w:sz w:val="22"/>
            <w:highlight w:val="none"/>
          </w:rPr>
          <m:t>η</m:t>
        </m:r>
        <m:r>
          <m:rPr/>
          <w:rPr>
            <w:rFonts w:hint="default" w:ascii="Cambria Math" w:hAnsi="Cambria Math" w:cs="Cambria Math"/>
            <w:sz w:val="22"/>
            <w:highlight w:val="none"/>
          </w:rPr>
          <m:t>=</m:t>
        </m:r>
        <m:r>
          <m:rPr/>
          <w:rPr>
            <w:rFonts w:hint="default" w:ascii="Cambria Math" w:hAnsi="Cambria Math" w:cs="Times New Roman"/>
            <w:sz w:val="22"/>
            <w:highlight w:val="none"/>
            <w:lang w:val="en-US" w:eastAsia="zh-CN"/>
          </w:rPr>
          <m:t>1.0</m:t>
        </m:r>
      </m:oMath>
      <w:r>
        <w:rPr>
          <w:rFonts w:hint="default" w:ascii="Times New Roman" w:hAnsi="Times New Roman" w:cs="Times New Roman"/>
          <w:sz w:val="22"/>
          <w:highlight w:val="none"/>
        </w:rPr>
        <w:t>, Section 2.3), this makes every number in the failure-time reporting reproducible from the logged event history.</w:t>
      </w:r>
      <w:bookmarkStart w:id="0" w:name="_GoBack"/>
      <w:bookmarkEnd w:id="0"/>
    </w:p>
    <w:p w14:paraId="6A399C05">
      <w:pPr>
        <w:spacing w:after="312" w:afterLines="100" w:line="360" w:lineRule="exact"/>
        <w:jc w:val="left"/>
        <w:rPr>
          <w:rFonts w:hint="default" w:ascii="Times New Roman" w:hAnsi="Times New Roman" w:cs="Times New Roman"/>
          <w:sz w:val="22"/>
          <w:highlight w:val="none"/>
        </w:rPr>
      </w:pPr>
    </w:p>
    <w:p w14:paraId="6FB8F1D2">
      <w:pPr>
        <w:spacing w:after="312" w:afterLines="100" w:line="360" w:lineRule="exact"/>
        <w:jc w:val="left"/>
        <w:rPr>
          <w:rFonts w:hint="default" w:ascii="Times New Roman" w:hAnsi="Times New Roman" w:cs="Times New Roman"/>
          <w:sz w:val="22"/>
          <w:highlight w:val="none"/>
        </w:rPr>
      </w:pPr>
    </w:p>
    <w:sectPr>
      <w:headerReference r:id="rId3" w:type="default"/>
      <w:pgSz w:w="11906" w:h="16838"/>
      <w:pgMar w:top="2574" w:right="1797" w:bottom="1440" w:left="1797" w:header="289" w:footer="1298"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NewRomanPS">
    <w:altName w:val="Times New Roman"/>
    <w:panose1 w:val="00000000000000000000"/>
    <w:charset w:val="00"/>
    <w:family w:val="roman"/>
    <w:pitch w:val="default"/>
    <w:sig w:usb0="00000000" w:usb1="00000000" w:usb2="00000000" w:usb3="00000000" w:csb0="00000001" w:csb1="00000000"/>
  </w:font>
  <w:font w:name="TimesNewRomanPSMT">
    <w:altName w:val="Times New Roman"/>
    <w:panose1 w:val="00000000000000000000"/>
    <w:charset w:val="00"/>
    <w:family w:val="roman"/>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4DF7">
    <w:pPr>
      <w:rPr>
        <w:b/>
        <w:sz w:val="32"/>
      </w:rPr>
    </w:pPr>
  </w:p>
  <w:p w14:paraId="7AEBB30D">
    <w:pPr>
      <w:rPr>
        <w:b/>
        <w:sz w:val="32"/>
      </w:rPr>
    </w:pPr>
    <w:r>
      <w:rPr>
        <w:b/>
        <w:sz w:val="32"/>
        <w:lang w:val="en-GB" w:eastAsia="en-GB"/>
      </w:rPr>
      <w:drawing>
        <wp:anchor distT="0" distB="0" distL="114300" distR="114300" simplePos="0" relativeHeight="251659264" behindDoc="0" locked="0" layoutInCell="1" allowOverlap="1">
          <wp:simplePos x="0" y="0"/>
          <wp:positionH relativeFrom="column">
            <wp:posOffset>6350</wp:posOffset>
          </wp:positionH>
          <wp:positionV relativeFrom="paragraph">
            <wp:posOffset>152400</wp:posOffset>
          </wp:positionV>
          <wp:extent cx="774065" cy="774065"/>
          <wp:effectExtent l="0" t="0" r="0" b="0"/>
          <wp:wrapNone/>
          <wp:docPr id="3" name="图片 2" descr="0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0copy"/>
                  <pic:cNvPicPr>
                    <a:picLocks noChangeAspect="1" noChangeArrowheads="1"/>
                  </pic:cNvPicPr>
                </pic:nvPicPr>
                <pic:blipFill>
                  <a:blip r:embed="rId1"/>
                  <a:srcRect/>
                  <a:stretch>
                    <a:fillRect/>
                  </a:stretch>
                </pic:blipFill>
                <pic:spPr>
                  <a:xfrm>
                    <a:off x="0" y="0"/>
                    <a:ext cx="774065" cy="774065"/>
                  </a:xfrm>
                  <a:prstGeom prst="rect">
                    <a:avLst/>
                  </a:prstGeom>
                  <a:noFill/>
                  <a:ln w="9525">
                    <a:noFill/>
                    <a:miter lim="800000"/>
                    <a:headEnd/>
                    <a:tailEnd/>
                  </a:ln>
                </pic:spPr>
              </pic:pic>
            </a:graphicData>
          </a:graphic>
        </wp:anchor>
      </w:drawing>
    </w:r>
  </w:p>
  <w:p w14:paraId="3F40EE04">
    <w:pPr>
      <w:jc w:val="center"/>
      <w:rPr>
        <w:rFonts w:hint="eastAsia" w:ascii="Arial" w:hAnsi="Arial" w:eastAsia="宋体" w:cs="Arial"/>
        <w:b/>
        <w:color w:val="006600"/>
        <w:sz w:val="32"/>
        <w:lang w:val="en-US" w:eastAsia="zh-CN"/>
      </w:rPr>
    </w:pPr>
    <w:r>
      <w:rPr>
        <w:b/>
        <w:sz w:val="32"/>
      </w:rPr>
      <w:t xml:space="preserve">        </w:t>
    </w:r>
    <w:r>
      <w:rPr>
        <w:rFonts w:hint="eastAsia"/>
        <w:b/>
        <w:sz w:val="32"/>
      </w:rPr>
      <w:t xml:space="preserve">    </w:t>
    </w:r>
    <w:r>
      <w:rPr>
        <w:rFonts w:hint="eastAsia"/>
        <w:b/>
        <w:color w:val="006600"/>
        <w:sz w:val="32"/>
      </w:rPr>
      <w:t xml:space="preserve"> </w:t>
    </w:r>
    <w:r>
      <w:rPr>
        <w:b/>
        <w:color w:val="006600"/>
        <w:sz w:val="32"/>
      </w:rPr>
      <w:t xml:space="preserve">        </w:t>
    </w:r>
    <w:r>
      <w:rPr>
        <w:rFonts w:ascii="Arial" w:hAnsi="Arial" w:cs="Arial"/>
        <w:b/>
        <w:color w:val="006600"/>
        <w:sz w:val="32"/>
      </w:rPr>
      <w:t>Institute of Urban Environment</w:t>
    </w:r>
    <w:r>
      <w:rPr>
        <w:rFonts w:hint="eastAsia" w:ascii="Arial" w:hAnsi="Arial" w:cs="Arial"/>
        <w:b/>
        <w:color w:val="006600"/>
        <w:sz w:val="32"/>
        <w:lang w:val="en-US" w:eastAsia="zh-CN"/>
      </w:rPr>
      <w:t>,</w:t>
    </w:r>
  </w:p>
  <w:p w14:paraId="38F7D669">
    <w:pPr>
      <w:jc w:val="center"/>
      <w:rPr>
        <w:rFonts w:ascii="Arial" w:hAnsi="Arial" w:cs="Arial"/>
        <w:b/>
        <w:color w:val="006600"/>
        <w:sz w:val="32"/>
      </w:rPr>
    </w:pPr>
    <w:r>
      <w:rPr>
        <w:rFonts w:ascii="Arial" w:hAnsi="Arial" w:cs="Arial"/>
        <w:b/>
        <w:color w:val="006600"/>
        <w:sz w:val="32"/>
      </w:rPr>
      <w:t xml:space="preserve">                      Chinese Academy of Sciences</w:t>
    </w:r>
  </w:p>
  <w:p w14:paraId="16E95483">
    <w:pPr>
      <w:spacing w:before="120" w:beforeLines="50" w:line="360" w:lineRule="auto"/>
      <w:jc w:val="center"/>
      <w:rPr>
        <w:rFonts w:ascii="Arial" w:hAnsi="Arial" w:cs="Arial"/>
        <w:b/>
        <w:bCs/>
        <w:color w:val="006600"/>
        <w:sz w:val="18"/>
        <w:szCs w:val="18"/>
      </w:rPr>
    </w:pPr>
    <w:r>
      <w:rPr>
        <w:lang w:val="en-GB" w:eastAsia="en-GB"/>
      </w:rPr>
      <mc:AlternateContent>
        <mc:Choice Requires="wps">
          <w:drawing>
            <wp:anchor distT="0" distB="0" distL="114300" distR="114300" simplePos="0" relativeHeight="251660288" behindDoc="0" locked="0" layoutInCell="1" allowOverlap="1">
              <wp:simplePos x="0" y="0"/>
              <wp:positionH relativeFrom="column">
                <wp:posOffset>-2540</wp:posOffset>
              </wp:positionH>
              <wp:positionV relativeFrom="paragraph">
                <wp:posOffset>262890</wp:posOffset>
              </wp:positionV>
              <wp:extent cx="5321300" cy="635"/>
              <wp:effectExtent l="16510" t="19050" r="15240" b="18415"/>
              <wp:wrapNone/>
              <wp:docPr id="2" name="Line 3"/>
              <wp:cNvGraphicFramePr/>
              <a:graphic xmlns:a="http://schemas.openxmlformats.org/drawingml/2006/main">
                <a:graphicData uri="http://schemas.microsoft.com/office/word/2010/wordprocessingShape">
                  <wps:wsp>
                    <wps:cNvCnPr>
                      <a:cxnSpLocks noChangeShapeType="1"/>
                    </wps:cNvCnPr>
                    <wps:spPr bwMode="auto">
                      <a:xfrm flipV="1">
                        <a:off x="0" y="0"/>
                        <a:ext cx="5321300" cy="635"/>
                      </a:xfrm>
                      <a:prstGeom prst="line">
                        <a:avLst/>
                      </a:prstGeom>
                      <a:noFill/>
                      <a:ln w="25400">
                        <a:solidFill>
                          <a:srgbClr val="006600"/>
                        </a:solidFill>
                        <a:round/>
                      </a:ln>
                    </wps:spPr>
                    <wps:bodyPr/>
                  </wps:wsp>
                </a:graphicData>
              </a:graphic>
            </wp:anchor>
          </w:drawing>
        </mc:Choice>
        <mc:Fallback>
          <w:pict>
            <v:line id="Line 3" o:spid="_x0000_s1026" o:spt="20" style="position:absolute;left:0pt;flip:y;margin-left:-0.2pt;margin-top:20.7pt;height:0.05pt;width:419pt;z-index:251660288;mso-width-relative:page;mso-height-relative:page;" filled="f" stroked="t" coordsize="21600,21600" o:gfxdata="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2G4AL9cAAAAHAQAADwAAAAAAAAABACAAAAAi&#10;AAAAZHJzL2Rvd25yZXYueG1sUEsBAhQAFAAAAAgAh07iQJGGSSPSAQAArAMAAA4AAAAAAAAAAQAg&#10;AAAAJgEAAGRycy9lMm9Eb2MueG1sUEsFBgAAAAAGAAYAWQEAAGoFAAAAAA==&#10;">
              <v:fill on="f" focussize="0,0"/>
              <v:stroke weight="2pt" color="#006600" joinstyle="round"/>
              <v:imagedata o:title=""/>
              <o:lock v:ext="edit" aspectratio="f"/>
            </v:line>
          </w:pict>
        </mc:Fallback>
      </mc:AlternateContent>
    </w:r>
    <w:r>
      <w:rPr>
        <w:b/>
        <w:color w:val="006600"/>
        <w:sz w:val="32"/>
      </w:rPr>
      <w:t xml:space="preserve">          </w:t>
    </w:r>
    <w:r>
      <w:rPr>
        <w:rFonts w:hint="eastAsia"/>
        <w:b/>
        <w:color w:val="006600"/>
        <w:sz w:val="32"/>
      </w:rPr>
      <w:t xml:space="preserve">  </w:t>
    </w:r>
    <w:r>
      <w:rPr>
        <w:rFonts w:ascii="Arial" w:hAnsi="Arial" w:cs="Arial"/>
        <w:b/>
        <w:color w:val="006600"/>
        <w:sz w:val="32"/>
      </w:rPr>
      <w:t xml:space="preserve">      </w:t>
    </w:r>
    <w:r>
      <w:rPr>
        <w:rFonts w:ascii="Arial" w:hAnsi="Arial" w:cs="Arial"/>
        <w:b/>
        <w:bCs/>
        <w:color w:val="006600"/>
        <w:sz w:val="18"/>
        <w:szCs w:val="18"/>
      </w:rPr>
      <w:t>1799 Jimei Ave., Xiamen 361021, China http: //www.iue.cas.cn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383411"/>
    <w:multiLevelType w:val="singleLevel"/>
    <w:tmpl w:val="D1383411"/>
    <w:lvl w:ilvl="0" w:tentative="0">
      <w:start w:val="1"/>
      <w:numFmt w:val="decimal"/>
      <w:pStyle w:val="2"/>
      <w:lvlText w:val="%1."/>
      <w:lvlJc w:val="left"/>
      <w:pPr>
        <w:tabs>
          <w:tab w:val="left" w:pos="360"/>
        </w:tabs>
        <w:ind w:left="360" w:hanging="360"/>
      </w:pPr>
    </w:lvl>
  </w:abstractNum>
  <w:abstractNum w:abstractNumId="1">
    <w:nsid w:val="3B906371"/>
    <w:multiLevelType w:val="singleLevel"/>
    <w:tmpl w:val="3B906371"/>
    <w:lvl w:ilvl="0" w:tentative="0">
      <w:start w:val="1"/>
      <w:numFmt w:val="bullet"/>
      <w:pStyle w:val="3"/>
      <w:lvlText w:val=""/>
      <w:lvlJc w:val="left"/>
      <w:pPr>
        <w:tabs>
          <w:tab w:val="left" w:pos="360"/>
        </w:tabs>
        <w:ind w:left="36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1"/>
  <w:bordersDoNotSurroundFooter w:val="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A2NjG1sDCztDQ0sDRQ0lEKTi0uzszPAymwrAUAJ8A/tCwAAAA="/>
    <w:docVar w:name="commondata" w:val="eyJoZGlkIjoiZWJkM2U1ZGIzZmRkNTFiNzk4ZjUyZWUyMTliMTg0MmMifQ=="/>
    <w:docVar w:name="EN.Layout" w:val="&lt;ENLayout&gt;&lt;Style&gt;Ambio&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zprffdxz952pzee2ab5a9vv5t5r9d5x2w52&quot;&gt;新&lt;record-ids&gt;&lt;item&gt;3608&lt;/item&gt;&lt;/record-ids&gt;&lt;/item&gt;&lt;/Libraries&gt;"/>
  </w:docVars>
  <w:rsids>
    <w:rsidRoot w:val="00C60692"/>
    <w:rsid w:val="00001445"/>
    <w:rsid w:val="00003BC3"/>
    <w:rsid w:val="00004065"/>
    <w:rsid w:val="00005956"/>
    <w:rsid w:val="00005CDE"/>
    <w:rsid w:val="00006367"/>
    <w:rsid w:val="00006743"/>
    <w:rsid w:val="00006DDD"/>
    <w:rsid w:val="00007EBA"/>
    <w:rsid w:val="00010449"/>
    <w:rsid w:val="00012281"/>
    <w:rsid w:val="00013B5C"/>
    <w:rsid w:val="00013CCA"/>
    <w:rsid w:val="00014067"/>
    <w:rsid w:val="00014628"/>
    <w:rsid w:val="0001759D"/>
    <w:rsid w:val="000177CC"/>
    <w:rsid w:val="00017941"/>
    <w:rsid w:val="00021953"/>
    <w:rsid w:val="00021CFF"/>
    <w:rsid w:val="000227E8"/>
    <w:rsid w:val="00022BB0"/>
    <w:rsid w:val="00024A33"/>
    <w:rsid w:val="000265F1"/>
    <w:rsid w:val="00026780"/>
    <w:rsid w:val="00027162"/>
    <w:rsid w:val="000275E6"/>
    <w:rsid w:val="00027CCB"/>
    <w:rsid w:val="000314AB"/>
    <w:rsid w:val="00033B2D"/>
    <w:rsid w:val="000342BC"/>
    <w:rsid w:val="0003458F"/>
    <w:rsid w:val="000345E8"/>
    <w:rsid w:val="000368FF"/>
    <w:rsid w:val="00036BB0"/>
    <w:rsid w:val="00037D2A"/>
    <w:rsid w:val="000408C1"/>
    <w:rsid w:val="00041C97"/>
    <w:rsid w:val="00042535"/>
    <w:rsid w:val="000427AC"/>
    <w:rsid w:val="000428BA"/>
    <w:rsid w:val="000432A6"/>
    <w:rsid w:val="00044A63"/>
    <w:rsid w:val="00044DED"/>
    <w:rsid w:val="0004582A"/>
    <w:rsid w:val="00046B54"/>
    <w:rsid w:val="00046FD6"/>
    <w:rsid w:val="00051EFD"/>
    <w:rsid w:val="00054961"/>
    <w:rsid w:val="00055720"/>
    <w:rsid w:val="00055E7D"/>
    <w:rsid w:val="000604E9"/>
    <w:rsid w:val="00061FBC"/>
    <w:rsid w:val="0006257D"/>
    <w:rsid w:val="00062C4D"/>
    <w:rsid w:val="00062F0F"/>
    <w:rsid w:val="00064328"/>
    <w:rsid w:val="00065503"/>
    <w:rsid w:val="00065C1E"/>
    <w:rsid w:val="00066F03"/>
    <w:rsid w:val="00071286"/>
    <w:rsid w:val="00072076"/>
    <w:rsid w:val="0007366E"/>
    <w:rsid w:val="000745ED"/>
    <w:rsid w:val="00075EB8"/>
    <w:rsid w:val="0007617F"/>
    <w:rsid w:val="000776AB"/>
    <w:rsid w:val="0008029E"/>
    <w:rsid w:val="0008070E"/>
    <w:rsid w:val="000813C4"/>
    <w:rsid w:val="00081A9A"/>
    <w:rsid w:val="00081C4E"/>
    <w:rsid w:val="00081D12"/>
    <w:rsid w:val="000834C9"/>
    <w:rsid w:val="00084CA2"/>
    <w:rsid w:val="00085162"/>
    <w:rsid w:val="00087EB7"/>
    <w:rsid w:val="0009038E"/>
    <w:rsid w:val="00090C57"/>
    <w:rsid w:val="00092EBE"/>
    <w:rsid w:val="000930A7"/>
    <w:rsid w:val="00093939"/>
    <w:rsid w:val="000942B7"/>
    <w:rsid w:val="0009467C"/>
    <w:rsid w:val="000958E2"/>
    <w:rsid w:val="00096B27"/>
    <w:rsid w:val="00096FE6"/>
    <w:rsid w:val="00097E82"/>
    <w:rsid w:val="000A0209"/>
    <w:rsid w:val="000A020B"/>
    <w:rsid w:val="000A063C"/>
    <w:rsid w:val="000A25DB"/>
    <w:rsid w:val="000A290A"/>
    <w:rsid w:val="000A34D8"/>
    <w:rsid w:val="000A423B"/>
    <w:rsid w:val="000A5040"/>
    <w:rsid w:val="000A5BD1"/>
    <w:rsid w:val="000A62E7"/>
    <w:rsid w:val="000A7825"/>
    <w:rsid w:val="000A7B25"/>
    <w:rsid w:val="000B043F"/>
    <w:rsid w:val="000B102C"/>
    <w:rsid w:val="000B39D1"/>
    <w:rsid w:val="000B3C42"/>
    <w:rsid w:val="000B3EBA"/>
    <w:rsid w:val="000B620B"/>
    <w:rsid w:val="000B7813"/>
    <w:rsid w:val="000C0145"/>
    <w:rsid w:val="000C1122"/>
    <w:rsid w:val="000C20E9"/>
    <w:rsid w:val="000C286F"/>
    <w:rsid w:val="000C3A37"/>
    <w:rsid w:val="000C440B"/>
    <w:rsid w:val="000C65BA"/>
    <w:rsid w:val="000C782B"/>
    <w:rsid w:val="000D0218"/>
    <w:rsid w:val="000D3984"/>
    <w:rsid w:val="000D3A31"/>
    <w:rsid w:val="000D46BC"/>
    <w:rsid w:val="000D4928"/>
    <w:rsid w:val="000D4A06"/>
    <w:rsid w:val="000D4AA3"/>
    <w:rsid w:val="000D4D5B"/>
    <w:rsid w:val="000D6500"/>
    <w:rsid w:val="000D6540"/>
    <w:rsid w:val="000D7230"/>
    <w:rsid w:val="000D75DF"/>
    <w:rsid w:val="000E0260"/>
    <w:rsid w:val="000E1F98"/>
    <w:rsid w:val="000E2A30"/>
    <w:rsid w:val="000E4B79"/>
    <w:rsid w:val="000E5043"/>
    <w:rsid w:val="000E58B8"/>
    <w:rsid w:val="000E5C63"/>
    <w:rsid w:val="000E668C"/>
    <w:rsid w:val="000E765C"/>
    <w:rsid w:val="000E7F89"/>
    <w:rsid w:val="000F0040"/>
    <w:rsid w:val="000F0556"/>
    <w:rsid w:val="000F0822"/>
    <w:rsid w:val="000F2487"/>
    <w:rsid w:val="000F2FC7"/>
    <w:rsid w:val="000F45E7"/>
    <w:rsid w:val="000F797C"/>
    <w:rsid w:val="000F7E2B"/>
    <w:rsid w:val="00101321"/>
    <w:rsid w:val="00101D7E"/>
    <w:rsid w:val="00101E02"/>
    <w:rsid w:val="00102A86"/>
    <w:rsid w:val="00103596"/>
    <w:rsid w:val="00103728"/>
    <w:rsid w:val="001055C9"/>
    <w:rsid w:val="00105D05"/>
    <w:rsid w:val="0010657E"/>
    <w:rsid w:val="00111290"/>
    <w:rsid w:val="0011203C"/>
    <w:rsid w:val="00112740"/>
    <w:rsid w:val="00113C40"/>
    <w:rsid w:val="00114155"/>
    <w:rsid w:val="00115459"/>
    <w:rsid w:val="00115BCB"/>
    <w:rsid w:val="0011609F"/>
    <w:rsid w:val="001177B0"/>
    <w:rsid w:val="00117F89"/>
    <w:rsid w:val="0012059E"/>
    <w:rsid w:val="0012160A"/>
    <w:rsid w:val="00124ABA"/>
    <w:rsid w:val="0012530A"/>
    <w:rsid w:val="0012601A"/>
    <w:rsid w:val="00131697"/>
    <w:rsid w:val="00131C76"/>
    <w:rsid w:val="00132A3A"/>
    <w:rsid w:val="00132BCE"/>
    <w:rsid w:val="00132EA7"/>
    <w:rsid w:val="0013353B"/>
    <w:rsid w:val="0013379A"/>
    <w:rsid w:val="00133ADC"/>
    <w:rsid w:val="00133F9F"/>
    <w:rsid w:val="00134C5F"/>
    <w:rsid w:val="001352ED"/>
    <w:rsid w:val="00135D9D"/>
    <w:rsid w:val="00136B00"/>
    <w:rsid w:val="001376CD"/>
    <w:rsid w:val="00140B4B"/>
    <w:rsid w:val="001429EC"/>
    <w:rsid w:val="00144096"/>
    <w:rsid w:val="0014571E"/>
    <w:rsid w:val="00146D19"/>
    <w:rsid w:val="00150E77"/>
    <w:rsid w:val="00151F13"/>
    <w:rsid w:val="00152DC9"/>
    <w:rsid w:val="001532C5"/>
    <w:rsid w:val="0015428F"/>
    <w:rsid w:val="001550B9"/>
    <w:rsid w:val="001552A5"/>
    <w:rsid w:val="001568FC"/>
    <w:rsid w:val="001575CF"/>
    <w:rsid w:val="001603A7"/>
    <w:rsid w:val="00160473"/>
    <w:rsid w:val="00160594"/>
    <w:rsid w:val="00160751"/>
    <w:rsid w:val="00160A46"/>
    <w:rsid w:val="001618B3"/>
    <w:rsid w:val="00161970"/>
    <w:rsid w:val="00162367"/>
    <w:rsid w:val="0016271E"/>
    <w:rsid w:val="00163509"/>
    <w:rsid w:val="0016462A"/>
    <w:rsid w:val="00164A63"/>
    <w:rsid w:val="0016585A"/>
    <w:rsid w:val="00165FF9"/>
    <w:rsid w:val="001667EC"/>
    <w:rsid w:val="001675E5"/>
    <w:rsid w:val="0016777A"/>
    <w:rsid w:val="00167F93"/>
    <w:rsid w:val="001715F7"/>
    <w:rsid w:val="00171D9B"/>
    <w:rsid w:val="00172749"/>
    <w:rsid w:val="001741B4"/>
    <w:rsid w:val="00174F3B"/>
    <w:rsid w:val="00175085"/>
    <w:rsid w:val="0017523C"/>
    <w:rsid w:val="00175BFB"/>
    <w:rsid w:val="00177D07"/>
    <w:rsid w:val="001806AC"/>
    <w:rsid w:val="00183502"/>
    <w:rsid w:val="00183906"/>
    <w:rsid w:val="001844E8"/>
    <w:rsid w:val="00184558"/>
    <w:rsid w:val="0018470F"/>
    <w:rsid w:val="00184D6D"/>
    <w:rsid w:val="00185C7C"/>
    <w:rsid w:val="00185C80"/>
    <w:rsid w:val="00185EE9"/>
    <w:rsid w:val="0018615D"/>
    <w:rsid w:val="001867A5"/>
    <w:rsid w:val="00187307"/>
    <w:rsid w:val="001900C2"/>
    <w:rsid w:val="00190B84"/>
    <w:rsid w:val="00192D59"/>
    <w:rsid w:val="001931BC"/>
    <w:rsid w:val="001934E6"/>
    <w:rsid w:val="00194141"/>
    <w:rsid w:val="00194CA8"/>
    <w:rsid w:val="00195204"/>
    <w:rsid w:val="001954DE"/>
    <w:rsid w:val="001954DF"/>
    <w:rsid w:val="001970EF"/>
    <w:rsid w:val="00197404"/>
    <w:rsid w:val="00197AF7"/>
    <w:rsid w:val="001A00C0"/>
    <w:rsid w:val="001A0703"/>
    <w:rsid w:val="001A1ACC"/>
    <w:rsid w:val="001A2917"/>
    <w:rsid w:val="001A3C8B"/>
    <w:rsid w:val="001A3E13"/>
    <w:rsid w:val="001A51AB"/>
    <w:rsid w:val="001A5A30"/>
    <w:rsid w:val="001A5F14"/>
    <w:rsid w:val="001A7CD7"/>
    <w:rsid w:val="001B01DC"/>
    <w:rsid w:val="001B0239"/>
    <w:rsid w:val="001B091A"/>
    <w:rsid w:val="001B093B"/>
    <w:rsid w:val="001B18FC"/>
    <w:rsid w:val="001B1E4E"/>
    <w:rsid w:val="001B366B"/>
    <w:rsid w:val="001B3E1E"/>
    <w:rsid w:val="001B3E2A"/>
    <w:rsid w:val="001B4CD0"/>
    <w:rsid w:val="001B4DDA"/>
    <w:rsid w:val="001B4E0E"/>
    <w:rsid w:val="001B4FEA"/>
    <w:rsid w:val="001B50B4"/>
    <w:rsid w:val="001B6253"/>
    <w:rsid w:val="001B71DB"/>
    <w:rsid w:val="001C046A"/>
    <w:rsid w:val="001C087D"/>
    <w:rsid w:val="001C0A53"/>
    <w:rsid w:val="001C1F7E"/>
    <w:rsid w:val="001C21C0"/>
    <w:rsid w:val="001C4B0F"/>
    <w:rsid w:val="001C4D33"/>
    <w:rsid w:val="001C6367"/>
    <w:rsid w:val="001C6BC3"/>
    <w:rsid w:val="001D0B46"/>
    <w:rsid w:val="001D1D25"/>
    <w:rsid w:val="001D261D"/>
    <w:rsid w:val="001D2AC0"/>
    <w:rsid w:val="001D3296"/>
    <w:rsid w:val="001D3ED3"/>
    <w:rsid w:val="001D5294"/>
    <w:rsid w:val="001D63AF"/>
    <w:rsid w:val="001D7DDE"/>
    <w:rsid w:val="001D7DE7"/>
    <w:rsid w:val="001E2753"/>
    <w:rsid w:val="001E2796"/>
    <w:rsid w:val="001E299F"/>
    <w:rsid w:val="001E4D47"/>
    <w:rsid w:val="001E66CD"/>
    <w:rsid w:val="001E7533"/>
    <w:rsid w:val="001F24CD"/>
    <w:rsid w:val="001F3194"/>
    <w:rsid w:val="001F3490"/>
    <w:rsid w:val="001F4432"/>
    <w:rsid w:val="001F6DAD"/>
    <w:rsid w:val="001F74D0"/>
    <w:rsid w:val="0020039D"/>
    <w:rsid w:val="00201423"/>
    <w:rsid w:val="0020185B"/>
    <w:rsid w:val="00201FDB"/>
    <w:rsid w:val="00202924"/>
    <w:rsid w:val="00202AA4"/>
    <w:rsid w:val="00204053"/>
    <w:rsid w:val="002041AB"/>
    <w:rsid w:val="00205113"/>
    <w:rsid w:val="0020618F"/>
    <w:rsid w:val="00207577"/>
    <w:rsid w:val="0021151B"/>
    <w:rsid w:val="00211609"/>
    <w:rsid w:val="00216345"/>
    <w:rsid w:val="0021787F"/>
    <w:rsid w:val="0022011D"/>
    <w:rsid w:val="00224019"/>
    <w:rsid w:val="00224266"/>
    <w:rsid w:val="0022567B"/>
    <w:rsid w:val="002258DD"/>
    <w:rsid w:val="002271B6"/>
    <w:rsid w:val="002278FF"/>
    <w:rsid w:val="00232195"/>
    <w:rsid w:val="00233832"/>
    <w:rsid w:val="00234E8F"/>
    <w:rsid w:val="002351A0"/>
    <w:rsid w:val="0023539D"/>
    <w:rsid w:val="00235B45"/>
    <w:rsid w:val="00235CAF"/>
    <w:rsid w:val="002364B2"/>
    <w:rsid w:val="00236CAC"/>
    <w:rsid w:val="00241C27"/>
    <w:rsid w:val="0024272A"/>
    <w:rsid w:val="00242731"/>
    <w:rsid w:val="00244942"/>
    <w:rsid w:val="00244E99"/>
    <w:rsid w:val="0024649A"/>
    <w:rsid w:val="00246954"/>
    <w:rsid w:val="00246B0D"/>
    <w:rsid w:val="002470AF"/>
    <w:rsid w:val="002514FA"/>
    <w:rsid w:val="002526FE"/>
    <w:rsid w:val="00252AEA"/>
    <w:rsid w:val="00253451"/>
    <w:rsid w:val="00253A3F"/>
    <w:rsid w:val="00254C0E"/>
    <w:rsid w:val="00255A50"/>
    <w:rsid w:val="002565E5"/>
    <w:rsid w:val="00260563"/>
    <w:rsid w:val="00261C90"/>
    <w:rsid w:val="0026235F"/>
    <w:rsid w:val="002625A6"/>
    <w:rsid w:val="002629CD"/>
    <w:rsid w:val="00265C25"/>
    <w:rsid w:val="00270520"/>
    <w:rsid w:val="00270C56"/>
    <w:rsid w:val="00270FA5"/>
    <w:rsid w:val="00271DE1"/>
    <w:rsid w:val="00272CAD"/>
    <w:rsid w:val="00273203"/>
    <w:rsid w:val="0027485B"/>
    <w:rsid w:val="0027489C"/>
    <w:rsid w:val="00276448"/>
    <w:rsid w:val="00276661"/>
    <w:rsid w:val="0028053B"/>
    <w:rsid w:val="00283176"/>
    <w:rsid w:val="00283498"/>
    <w:rsid w:val="00283674"/>
    <w:rsid w:val="00284B60"/>
    <w:rsid w:val="002850B1"/>
    <w:rsid w:val="00287E07"/>
    <w:rsid w:val="00292300"/>
    <w:rsid w:val="00293A1B"/>
    <w:rsid w:val="00293E78"/>
    <w:rsid w:val="00295DEA"/>
    <w:rsid w:val="002A0856"/>
    <w:rsid w:val="002A0DBB"/>
    <w:rsid w:val="002A0EFA"/>
    <w:rsid w:val="002A19FE"/>
    <w:rsid w:val="002A1D0C"/>
    <w:rsid w:val="002A1F8C"/>
    <w:rsid w:val="002A202E"/>
    <w:rsid w:val="002A2DE2"/>
    <w:rsid w:val="002A31B4"/>
    <w:rsid w:val="002A3CC2"/>
    <w:rsid w:val="002A6CEF"/>
    <w:rsid w:val="002A70CB"/>
    <w:rsid w:val="002A7524"/>
    <w:rsid w:val="002B05E5"/>
    <w:rsid w:val="002B1EFF"/>
    <w:rsid w:val="002B315A"/>
    <w:rsid w:val="002B3F69"/>
    <w:rsid w:val="002B40EB"/>
    <w:rsid w:val="002B4289"/>
    <w:rsid w:val="002B43B8"/>
    <w:rsid w:val="002B7B10"/>
    <w:rsid w:val="002C0017"/>
    <w:rsid w:val="002C1375"/>
    <w:rsid w:val="002C405C"/>
    <w:rsid w:val="002C5925"/>
    <w:rsid w:val="002C5D65"/>
    <w:rsid w:val="002C615F"/>
    <w:rsid w:val="002C6B8B"/>
    <w:rsid w:val="002D0A2A"/>
    <w:rsid w:val="002D2315"/>
    <w:rsid w:val="002D39DE"/>
    <w:rsid w:val="002D567B"/>
    <w:rsid w:val="002D5B1D"/>
    <w:rsid w:val="002D6CF4"/>
    <w:rsid w:val="002D74C8"/>
    <w:rsid w:val="002D7BE4"/>
    <w:rsid w:val="002E0FE4"/>
    <w:rsid w:val="002E2301"/>
    <w:rsid w:val="002E25B2"/>
    <w:rsid w:val="002E2A31"/>
    <w:rsid w:val="002E2DAA"/>
    <w:rsid w:val="002E2E2E"/>
    <w:rsid w:val="002E36AB"/>
    <w:rsid w:val="002E4976"/>
    <w:rsid w:val="002E7218"/>
    <w:rsid w:val="002E75A2"/>
    <w:rsid w:val="002F14DB"/>
    <w:rsid w:val="002F1D63"/>
    <w:rsid w:val="002F263D"/>
    <w:rsid w:val="002F374E"/>
    <w:rsid w:val="002F3E52"/>
    <w:rsid w:val="002F504D"/>
    <w:rsid w:val="003001BF"/>
    <w:rsid w:val="003008C4"/>
    <w:rsid w:val="00300911"/>
    <w:rsid w:val="00300B88"/>
    <w:rsid w:val="00301578"/>
    <w:rsid w:val="003031FA"/>
    <w:rsid w:val="00303753"/>
    <w:rsid w:val="003045A4"/>
    <w:rsid w:val="003050B5"/>
    <w:rsid w:val="00307787"/>
    <w:rsid w:val="00307CC1"/>
    <w:rsid w:val="00311367"/>
    <w:rsid w:val="00311AF9"/>
    <w:rsid w:val="00311F34"/>
    <w:rsid w:val="00312C7F"/>
    <w:rsid w:val="00313CDA"/>
    <w:rsid w:val="00315620"/>
    <w:rsid w:val="0031637E"/>
    <w:rsid w:val="003165A9"/>
    <w:rsid w:val="0032019A"/>
    <w:rsid w:val="00320821"/>
    <w:rsid w:val="00320C60"/>
    <w:rsid w:val="00320CD1"/>
    <w:rsid w:val="00321537"/>
    <w:rsid w:val="00323789"/>
    <w:rsid w:val="00324399"/>
    <w:rsid w:val="00324685"/>
    <w:rsid w:val="00324EB2"/>
    <w:rsid w:val="00330CC8"/>
    <w:rsid w:val="003319AE"/>
    <w:rsid w:val="00333E5A"/>
    <w:rsid w:val="003347CC"/>
    <w:rsid w:val="003347F0"/>
    <w:rsid w:val="00335A82"/>
    <w:rsid w:val="003366AA"/>
    <w:rsid w:val="00336D8C"/>
    <w:rsid w:val="00340745"/>
    <w:rsid w:val="003419F3"/>
    <w:rsid w:val="00341D85"/>
    <w:rsid w:val="00341F1D"/>
    <w:rsid w:val="00342582"/>
    <w:rsid w:val="003436A8"/>
    <w:rsid w:val="00343B54"/>
    <w:rsid w:val="003446B0"/>
    <w:rsid w:val="00344BCC"/>
    <w:rsid w:val="00345AD0"/>
    <w:rsid w:val="00351F93"/>
    <w:rsid w:val="00352213"/>
    <w:rsid w:val="003522E3"/>
    <w:rsid w:val="00355117"/>
    <w:rsid w:val="003556B4"/>
    <w:rsid w:val="00356C83"/>
    <w:rsid w:val="003579D0"/>
    <w:rsid w:val="00357C5E"/>
    <w:rsid w:val="00361C6E"/>
    <w:rsid w:val="00361E5B"/>
    <w:rsid w:val="00364182"/>
    <w:rsid w:val="003647C0"/>
    <w:rsid w:val="00364C9F"/>
    <w:rsid w:val="003663E4"/>
    <w:rsid w:val="0036722E"/>
    <w:rsid w:val="00367F8B"/>
    <w:rsid w:val="003708E9"/>
    <w:rsid w:val="003709B1"/>
    <w:rsid w:val="00371367"/>
    <w:rsid w:val="003729AC"/>
    <w:rsid w:val="00372EC4"/>
    <w:rsid w:val="00372F7D"/>
    <w:rsid w:val="00373AC7"/>
    <w:rsid w:val="00374B23"/>
    <w:rsid w:val="00376169"/>
    <w:rsid w:val="00376A58"/>
    <w:rsid w:val="0037795B"/>
    <w:rsid w:val="00381846"/>
    <w:rsid w:val="00381EB5"/>
    <w:rsid w:val="003820A5"/>
    <w:rsid w:val="003822CC"/>
    <w:rsid w:val="003826A9"/>
    <w:rsid w:val="00382ED3"/>
    <w:rsid w:val="00383C4D"/>
    <w:rsid w:val="00383FDB"/>
    <w:rsid w:val="00384216"/>
    <w:rsid w:val="0038441D"/>
    <w:rsid w:val="003845B5"/>
    <w:rsid w:val="00385160"/>
    <w:rsid w:val="0038540F"/>
    <w:rsid w:val="003861E8"/>
    <w:rsid w:val="003863C0"/>
    <w:rsid w:val="0038676D"/>
    <w:rsid w:val="00386986"/>
    <w:rsid w:val="00386B73"/>
    <w:rsid w:val="0038780D"/>
    <w:rsid w:val="00390586"/>
    <w:rsid w:val="00391497"/>
    <w:rsid w:val="00392885"/>
    <w:rsid w:val="00393865"/>
    <w:rsid w:val="00395459"/>
    <w:rsid w:val="00397474"/>
    <w:rsid w:val="003A002B"/>
    <w:rsid w:val="003A69CA"/>
    <w:rsid w:val="003B15E9"/>
    <w:rsid w:val="003B26C2"/>
    <w:rsid w:val="003B323F"/>
    <w:rsid w:val="003B3277"/>
    <w:rsid w:val="003B3A56"/>
    <w:rsid w:val="003B56A9"/>
    <w:rsid w:val="003B5846"/>
    <w:rsid w:val="003B6890"/>
    <w:rsid w:val="003B7727"/>
    <w:rsid w:val="003C289B"/>
    <w:rsid w:val="003C28E1"/>
    <w:rsid w:val="003C3976"/>
    <w:rsid w:val="003C685A"/>
    <w:rsid w:val="003C7472"/>
    <w:rsid w:val="003C78D6"/>
    <w:rsid w:val="003C7D34"/>
    <w:rsid w:val="003D07F2"/>
    <w:rsid w:val="003D0D97"/>
    <w:rsid w:val="003D2473"/>
    <w:rsid w:val="003D2C04"/>
    <w:rsid w:val="003D46EE"/>
    <w:rsid w:val="003D5550"/>
    <w:rsid w:val="003D6AC9"/>
    <w:rsid w:val="003D707B"/>
    <w:rsid w:val="003D7654"/>
    <w:rsid w:val="003E44B9"/>
    <w:rsid w:val="003E44DA"/>
    <w:rsid w:val="003E50B6"/>
    <w:rsid w:val="003E540C"/>
    <w:rsid w:val="003E675E"/>
    <w:rsid w:val="003E7415"/>
    <w:rsid w:val="003E7B2A"/>
    <w:rsid w:val="003E7E0E"/>
    <w:rsid w:val="003F1E31"/>
    <w:rsid w:val="003F3331"/>
    <w:rsid w:val="003F34CF"/>
    <w:rsid w:val="003F3C12"/>
    <w:rsid w:val="003F44EA"/>
    <w:rsid w:val="003F5751"/>
    <w:rsid w:val="003F764F"/>
    <w:rsid w:val="004000DE"/>
    <w:rsid w:val="004033FC"/>
    <w:rsid w:val="004061CD"/>
    <w:rsid w:val="0040685A"/>
    <w:rsid w:val="0041016A"/>
    <w:rsid w:val="00411576"/>
    <w:rsid w:val="00411CB2"/>
    <w:rsid w:val="00413C94"/>
    <w:rsid w:val="00415124"/>
    <w:rsid w:val="004151BF"/>
    <w:rsid w:val="00415834"/>
    <w:rsid w:val="0041588B"/>
    <w:rsid w:val="004159D8"/>
    <w:rsid w:val="00416124"/>
    <w:rsid w:val="00421031"/>
    <w:rsid w:val="004217B7"/>
    <w:rsid w:val="004225B8"/>
    <w:rsid w:val="004234D7"/>
    <w:rsid w:val="0042364F"/>
    <w:rsid w:val="00426565"/>
    <w:rsid w:val="00427084"/>
    <w:rsid w:val="00427968"/>
    <w:rsid w:val="00427EE2"/>
    <w:rsid w:val="00432C87"/>
    <w:rsid w:val="0043421C"/>
    <w:rsid w:val="0044131B"/>
    <w:rsid w:val="00442EFB"/>
    <w:rsid w:val="0044344A"/>
    <w:rsid w:val="004443E9"/>
    <w:rsid w:val="00444A02"/>
    <w:rsid w:val="0044574E"/>
    <w:rsid w:val="00446AF4"/>
    <w:rsid w:val="00450D8E"/>
    <w:rsid w:val="00453B57"/>
    <w:rsid w:val="004550A0"/>
    <w:rsid w:val="004555E4"/>
    <w:rsid w:val="0045719D"/>
    <w:rsid w:val="00457B0C"/>
    <w:rsid w:val="00460CD9"/>
    <w:rsid w:val="00461BFD"/>
    <w:rsid w:val="004637F8"/>
    <w:rsid w:val="00465ABA"/>
    <w:rsid w:val="004677A8"/>
    <w:rsid w:val="00467F0D"/>
    <w:rsid w:val="00471050"/>
    <w:rsid w:val="0047209A"/>
    <w:rsid w:val="004727B2"/>
    <w:rsid w:val="004747EC"/>
    <w:rsid w:val="00476DC2"/>
    <w:rsid w:val="00476E9B"/>
    <w:rsid w:val="00477077"/>
    <w:rsid w:val="004775F9"/>
    <w:rsid w:val="00477E34"/>
    <w:rsid w:val="004801A5"/>
    <w:rsid w:val="0048171A"/>
    <w:rsid w:val="004821B5"/>
    <w:rsid w:val="004825E9"/>
    <w:rsid w:val="00483BBB"/>
    <w:rsid w:val="00484701"/>
    <w:rsid w:val="00486792"/>
    <w:rsid w:val="0048693F"/>
    <w:rsid w:val="00486ECF"/>
    <w:rsid w:val="0048743E"/>
    <w:rsid w:val="00487752"/>
    <w:rsid w:val="00490340"/>
    <w:rsid w:val="00491166"/>
    <w:rsid w:val="00494A0F"/>
    <w:rsid w:val="00495808"/>
    <w:rsid w:val="00495DEE"/>
    <w:rsid w:val="00495FCC"/>
    <w:rsid w:val="00497A33"/>
    <w:rsid w:val="004A0951"/>
    <w:rsid w:val="004A0E7C"/>
    <w:rsid w:val="004A13D9"/>
    <w:rsid w:val="004A1B28"/>
    <w:rsid w:val="004A1C83"/>
    <w:rsid w:val="004A1E45"/>
    <w:rsid w:val="004A2D9A"/>
    <w:rsid w:val="004A39F5"/>
    <w:rsid w:val="004A4892"/>
    <w:rsid w:val="004A6057"/>
    <w:rsid w:val="004A6B43"/>
    <w:rsid w:val="004B23A8"/>
    <w:rsid w:val="004B26EF"/>
    <w:rsid w:val="004B5180"/>
    <w:rsid w:val="004B5430"/>
    <w:rsid w:val="004B6072"/>
    <w:rsid w:val="004B697B"/>
    <w:rsid w:val="004B7946"/>
    <w:rsid w:val="004C3284"/>
    <w:rsid w:val="004C3817"/>
    <w:rsid w:val="004C3B23"/>
    <w:rsid w:val="004C5D2C"/>
    <w:rsid w:val="004C6074"/>
    <w:rsid w:val="004C727A"/>
    <w:rsid w:val="004C741D"/>
    <w:rsid w:val="004D09F1"/>
    <w:rsid w:val="004D0F05"/>
    <w:rsid w:val="004D27AD"/>
    <w:rsid w:val="004D30F2"/>
    <w:rsid w:val="004D331B"/>
    <w:rsid w:val="004D33B2"/>
    <w:rsid w:val="004D3914"/>
    <w:rsid w:val="004D4130"/>
    <w:rsid w:val="004D5271"/>
    <w:rsid w:val="004D67C3"/>
    <w:rsid w:val="004D7040"/>
    <w:rsid w:val="004E27D3"/>
    <w:rsid w:val="004E2C86"/>
    <w:rsid w:val="004E3EF6"/>
    <w:rsid w:val="004E4E58"/>
    <w:rsid w:val="004E5A90"/>
    <w:rsid w:val="004E5F95"/>
    <w:rsid w:val="004E718E"/>
    <w:rsid w:val="004E738B"/>
    <w:rsid w:val="004F00A0"/>
    <w:rsid w:val="004F02EC"/>
    <w:rsid w:val="004F0627"/>
    <w:rsid w:val="004F11FF"/>
    <w:rsid w:val="004F30F5"/>
    <w:rsid w:val="004F3B18"/>
    <w:rsid w:val="004F4004"/>
    <w:rsid w:val="004F467B"/>
    <w:rsid w:val="004F547E"/>
    <w:rsid w:val="004F6176"/>
    <w:rsid w:val="004F6917"/>
    <w:rsid w:val="004F70C1"/>
    <w:rsid w:val="00503C8E"/>
    <w:rsid w:val="00504A4B"/>
    <w:rsid w:val="00505835"/>
    <w:rsid w:val="00505E6A"/>
    <w:rsid w:val="00505E9F"/>
    <w:rsid w:val="00506112"/>
    <w:rsid w:val="00506457"/>
    <w:rsid w:val="005066B7"/>
    <w:rsid w:val="0050684C"/>
    <w:rsid w:val="00510748"/>
    <w:rsid w:val="00511C8E"/>
    <w:rsid w:val="00511FF4"/>
    <w:rsid w:val="0051299D"/>
    <w:rsid w:val="005130D6"/>
    <w:rsid w:val="0051340C"/>
    <w:rsid w:val="0051392F"/>
    <w:rsid w:val="00513CE2"/>
    <w:rsid w:val="0051482C"/>
    <w:rsid w:val="0051492A"/>
    <w:rsid w:val="00514AC7"/>
    <w:rsid w:val="00515D6B"/>
    <w:rsid w:val="00516DE0"/>
    <w:rsid w:val="00517301"/>
    <w:rsid w:val="0052073C"/>
    <w:rsid w:val="005207AD"/>
    <w:rsid w:val="00521C97"/>
    <w:rsid w:val="00525C66"/>
    <w:rsid w:val="00525E11"/>
    <w:rsid w:val="0052600F"/>
    <w:rsid w:val="00526E79"/>
    <w:rsid w:val="00527B30"/>
    <w:rsid w:val="0053123B"/>
    <w:rsid w:val="00534004"/>
    <w:rsid w:val="00535130"/>
    <w:rsid w:val="005356D8"/>
    <w:rsid w:val="00536563"/>
    <w:rsid w:val="00537B87"/>
    <w:rsid w:val="00540E00"/>
    <w:rsid w:val="00540E26"/>
    <w:rsid w:val="0054131B"/>
    <w:rsid w:val="00545070"/>
    <w:rsid w:val="00545074"/>
    <w:rsid w:val="0054701A"/>
    <w:rsid w:val="00552BB4"/>
    <w:rsid w:val="00552E0B"/>
    <w:rsid w:val="0055375B"/>
    <w:rsid w:val="00554335"/>
    <w:rsid w:val="00554810"/>
    <w:rsid w:val="005557CA"/>
    <w:rsid w:val="005562DD"/>
    <w:rsid w:val="0055753D"/>
    <w:rsid w:val="00557A42"/>
    <w:rsid w:val="0056112D"/>
    <w:rsid w:val="0056141D"/>
    <w:rsid w:val="005618F1"/>
    <w:rsid w:val="00563506"/>
    <w:rsid w:val="0056411E"/>
    <w:rsid w:val="00564141"/>
    <w:rsid w:val="005647CC"/>
    <w:rsid w:val="00565AD7"/>
    <w:rsid w:val="005662B9"/>
    <w:rsid w:val="005667FE"/>
    <w:rsid w:val="00570889"/>
    <w:rsid w:val="00572D0C"/>
    <w:rsid w:val="005735E5"/>
    <w:rsid w:val="00573CE8"/>
    <w:rsid w:val="005767C6"/>
    <w:rsid w:val="005768B3"/>
    <w:rsid w:val="00576981"/>
    <w:rsid w:val="005769B0"/>
    <w:rsid w:val="00576B09"/>
    <w:rsid w:val="00577F25"/>
    <w:rsid w:val="00581C1C"/>
    <w:rsid w:val="005833F3"/>
    <w:rsid w:val="005839EE"/>
    <w:rsid w:val="00583F71"/>
    <w:rsid w:val="005853F1"/>
    <w:rsid w:val="00586661"/>
    <w:rsid w:val="0058750E"/>
    <w:rsid w:val="00587BA5"/>
    <w:rsid w:val="00590362"/>
    <w:rsid w:val="00590501"/>
    <w:rsid w:val="005911AD"/>
    <w:rsid w:val="00591790"/>
    <w:rsid w:val="00591FF3"/>
    <w:rsid w:val="00591FF9"/>
    <w:rsid w:val="00593EFC"/>
    <w:rsid w:val="0059595C"/>
    <w:rsid w:val="00595EB8"/>
    <w:rsid w:val="005A04B1"/>
    <w:rsid w:val="005A130A"/>
    <w:rsid w:val="005A1418"/>
    <w:rsid w:val="005A2597"/>
    <w:rsid w:val="005A298A"/>
    <w:rsid w:val="005A31B0"/>
    <w:rsid w:val="005A43C7"/>
    <w:rsid w:val="005A4737"/>
    <w:rsid w:val="005A6074"/>
    <w:rsid w:val="005A60E7"/>
    <w:rsid w:val="005A71E0"/>
    <w:rsid w:val="005B08BF"/>
    <w:rsid w:val="005B16CC"/>
    <w:rsid w:val="005B1FD2"/>
    <w:rsid w:val="005B2E32"/>
    <w:rsid w:val="005B37E8"/>
    <w:rsid w:val="005B4646"/>
    <w:rsid w:val="005B4D43"/>
    <w:rsid w:val="005B5380"/>
    <w:rsid w:val="005B751C"/>
    <w:rsid w:val="005B788E"/>
    <w:rsid w:val="005C013E"/>
    <w:rsid w:val="005C3132"/>
    <w:rsid w:val="005C5BA5"/>
    <w:rsid w:val="005C5CE7"/>
    <w:rsid w:val="005C65FB"/>
    <w:rsid w:val="005D0259"/>
    <w:rsid w:val="005D0445"/>
    <w:rsid w:val="005D0956"/>
    <w:rsid w:val="005D11D4"/>
    <w:rsid w:val="005D19B7"/>
    <w:rsid w:val="005D24ED"/>
    <w:rsid w:val="005D31FA"/>
    <w:rsid w:val="005D3544"/>
    <w:rsid w:val="005D404A"/>
    <w:rsid w:val="005D4C25"/>
    <w:rsid w:val="005D64D0"/>
    <w:rsid w:val="005D6711"/>
    <w:rsid w:val="005E335E"/>
    <w:rsid w:val="005E3A53"/>
    <w:rsid w:val="005E4852"/>
    <w:rsid w:val="005E4938"/>
    <w:rsid w:val="005E5650"/>
    <w:rsid w:val="005E707E"/>
    <w:rsid w:val="005F17A2"/>
    <w:rsid w:val="005F1A3C"/>
    <w:rsid w:val="005F307A"/>
    <w:rsid w:val="005F3D66"/>
    <w:rsid w:val="005F4E61"/>
    <w:rsid w:val="005F4EE6"/>
    <w:rsid w:val="005F562D"/>
    <w:rsid w:val="005F5E09"/>
    <w:rsid w:val="005F6920"/>
    <w:rsid w:val="005F6D03"/>
    <w:rsid w:val="005F6D19"/>
    <w:rsid w:val="005F7121"/>
    <w:rsid w:val="005F7A4D"/>
    <w:rsid w:val="00600344"/>
    <w:rsid w:val="00600A53"/>
    <w:rsid w:val="00601C04"/>
    <w:rsid w:val="00602BEB"/>
    <w:rsid w:val="006033CB"/>
    <w:rsid w:val="0060383D"/>
    <w:rsid w:val="006045F0"/>
    <w:rsid w:val="00604E7D"/>
    <w:rsid w:val="0060637F"/>
    <w:rsid w:val="00606859"/>
    <w:rsid w:val="00606EBE"/>
    <w:rsid w:val="00610597"/>
    <w:rsid w:val="00611B16"/>
    <w:rsid w:val="00611CB4"/>
    <w:rsid w:val="00613004"/>
    <w:rsid w:val="00615281"/>
    <w:rsid w:val="006157AE"/>
    <w:rsid w:val="00616039"/>
    <w:rsid w:val="00617961"/>
    <w:rsid w:val="0062002D"/>
    <w:rsid w:val="006203F1"/>
    <w:rsid w:val="00620D5F"/>
    <w:rsid w:val="006211A4"/>
    <w:rsid w:val="00623C51"/>
    <w:rsid w:val="006257D0"/>
    <w:rsid w:val="0062772A"/>
    <w:rsid w:val="00630E26"/>
    <w:rsid w:val="0063258E"/>
    <w:rsid w:val="006336CE"/>
    <w:rsid w:val="00634391"/>
    <w:rsid w:val="00635725"/>
    <w:rsid w:val="00635A30"/>
    <w:rsid w:val="00636EEF"/>
    <w:rsid w:val="00637195"/>
    <w:rsid w:val="00640B66"/>
    <w:rsid w:val="00640CD5"/>
    <w:rsid w:val="006419FB"/>
    <w:rsid w:val="00641F57"/>
    <w:rsid w:val="00645D7C"/>
    <w:rsid w:val="0064674C"/>
    <w:rsid w:val="00647B1B"/>
    <w:rsid w:val="00650330"/>
    <w:rsid w:val="006531C2"/>
    <w:rsid w:val="00653A77"/>
    <w:rsid w:val="00653F72"/>
    <w:rsid w:val="00654565"/>
    <w:rsid w:val="0065601E"/>
    <w:rsid w:val="006623E9"/>
    <w:rsid w:val="00662DEF"/>
    <w:rsid w:val="006660CB"/>
    <w:rsid w:val="00666520"/>
    <w:rsid w:val="00666C05"/>
    <w:rsid w:val="00667B53"/>
    <w:rsid w:val="00670C4A"/>
    <w:rsid w:val="0067149E"/>
    <w:rsid w:val="006738B8"/>
    <w:rsid w:val="00673C20"/>
    <w:rsid w:val="006743A1"/>
    <w:rsid w:val="00674A48"/>
    <w:rsid w:val="00677371"/>
    <w:rsid w:val="00680BB0"/>
    <w:rsid w:val="00681A7C"/>
    <w:rsid w:val="00681DFC"/>
    <w:rsid w:val="00682D70"/>
    <w:rsid w:val="0068507E"/>
    <w:rsid w:val="0068550E"/>
    <w:rsid w:val="006877A5"/>
    <w:rsid w:val="00687F73"/>
    <w:rsid w:val="00690AAD"/>
    <w:rsid w:val="00690D84"/>
    <w:rsid w:val="00691DB8"/>
    <w:rsid w:val="00695FEA"/>
    <w:rsid w:val="006A0382"/>
    <w:rsid w:val="006A0574"/>
    <w:rsid w:val="006A3A23"/>
    <w:rsid w:val="006A4ED8"/>
    <w:rsid w:val="006A5A17"/>
    <w:rsid w:val="006A5B85"/>
    <w:rsid w:val="006A6337"/>
    <w:rsid w:val="006A72C1"/>
    <w:rsid w:val="006B0F40"/>
    <w:rsid w:val="006B19E0"/>
    <w:rsid w:val="006B1F7D"/>
    <w:rsid w:val="006B34A3"/>
    <w:rsid w:val="006B4290"/>
    <w:rsid w:val="006B523F"/>
    <w:rsid w:val="006B58E7"/>
    <w:rsid w:val="006B6351"/>
    <w:rsid w:val="006B6C6E"/>
    <w:rsid w:val="006B7532"/>
    <w:rsid w:val="006C06CA"/>
    <w:rsid w:val="006C204F"/>
    <w:rsid w:val="006C2486"/>
    <w:rsid w:val="006C3C05"/>
    <w:rsid w:val="006C56E3"/>
    <w:rsid w:val="006C694E"/>
    <w:rsid w:val="006C763D"/>
    <w:rsid w:val="006C7FFE"/>
    <w:rsid w:val="006D1AAF"/>
    <w:rsid w:val="006D1E7E"/>
    <w:rsid w:val="006D391C"/>
    <w:rsid w:val="006D4194"/>
    <w:rsid w:val="006D41AB"/>
    <w:rsid w:val="006D68B3"/>
    <w:rsid w:val="006D784E"/>
    <w:rsid w:val="006D7FB7"/>
    <w:rsid w:val="006E05CD"/>
    <w:rsid w:val="006E0617"/>
    <w:rsid w:val="006E16A8"/>
    <w:rsid w:val="006E2378"/>
    <w:rsid w:val="006E5207"/>
    <w:rsid w:val="006E62F3"/>
    <w:rsid w:val="006E6E85"/>
    <w:rsid w:val="006F1508"/>
    <w:rsid w:val="006F1579"/>
    <w:rsid w:val="006F2705"/>
    <w:rsid w:val="006F298B"/>
    <w:rsid w:val="006F29B7"/>
    <w:rsid w:val="006F3567"/>
    <w:rsid w:val="006F490F"/>
    <w:rsid w:val="006F6966"/>
    <w:rsid w:val="00702815"/>
    <w:rsid w:val="007031B1"/>
    <w:rsid w:val="00703841"/>
    <w:rsid w:val="00703C63"/>
    <w:rsid w:val="00706B5C"/>
    <w:rsid w:val="00707DED"/>
    <w:rsid w:val="0071009B"/>
    <w:rsid w:val="00710582"/>
    <w:rsid w:val="0071162A"/>
    <w:rsid w:val="0071197F"/>
    <w:rsid w:val="007139C1"/>
    <w:rsid w:val="0071551C"/>
    <w:rsid w:val="00715A4D"/>
    <w:rsid w:val="007160E2"/>
    <w:rsid w:val="007166E2"/>
    <w:rsid w:val="00716C64"/>
    <w:rsid w:val="0071722D"/>
    <w:rsid w:val="00720805"/>
    <w:rsid w:val="0072082E"/>
    <w:rsid w:val="00720D7C"/>
    <w:rsid w:val="00722131"/>
    <w:rsid w:val="00723EA0"/>
    <w:rsid w:val="00724D5C"/>
    <w:rsid w:val="00725147"/>
    <w:rsid w:val="00725964"/>
    <w:rsid w:val="00725FDB"/>
    <w:rsid w:val="00730115"/>
    <w:rsid w:val="007330F9"/>
    <w:rsid w:val="00733E7D"/>
    <w:rsid w:val="00734C7C"/>
    <w:rsid w:val="0073588B"/>
    <w:rsid w:val="007378EA"/>
    <w:rsid w:val="00742016"/>
    <w:rsid w:val="00743B85"/>
    <w:rsid w:val="00745024"/>
    <w:rsid w:val="00746049"/>
    <w:rsid w:val="0075094E"/>
    <w:rsid w:val="00755B97"/>
    <w:rsid w:val="00757318"/>
    <w:rsid w:val="007579B5"/>
    <w:rsid w:val="00757BF2"/>
    <w:rsid w:val="00760B04"/>
    <w:rsid w:val="00760EA1"/>
    <w:rsid w:val="00761A13"/>
    <w:rsid w:val="007625A7"/>
    <w:rsid w:val="00762EB8"/>
    <w:rsid w:val="00765288"/>
    <w:rsid w:val="00766AB4"/>
    <w:rsid w:val="007677F0"/>
    <w:rsid w:val="00767A20"/>
    <w:rsid w:val="00771574"/>
    <w:rsid w:val="00771E80"/>
    <w:rsid w:val="00772A9C"/>
    <w:rsid w:val="00774323"/>
    <w:rsid w:val="00776048"/>
    <w:rsid w:val="00776483"/>
    <w:rsid w:val="00776A67"/>
    <w:rsid w:val="0077706D"/>
    <w:rsid w:val="00777501"/>
    <w:rsid w:val="0077754E"/>
    <w:rsid w:val="0078017A"/>
    <w:rsid w:val="007813EF"/>
    <w:rsid w:val="00781DD9"/>
    <w:rsid w:val="007829A1"/>
    <w:rsid w:val="00782FCF"/>
    <w:rsid w:val="00783606"/>
    <w:rsid w:val="007843CC"/>
    <w:rsid w:val="00785479"/>
    <w:rsid w:val="007854BF"/>
    <w:rsid w:val="00786731"/>
    <w:rsid w:val="007941C0"/>
    <w:rsid w:val="0079543E"/>
    <w:rsid w:val="007A11E4"/>
    <w:rsid w:val="007A129D"/>
    <w:rsid w:val="007A1696"/>
    <w:rsid w:val="007A257B"/>
    <w:rsid w:val="007A27F6"/>
    <w:rsid w:val="007A4233"/>
    <w:rsid w:val="007A693F"/>
    <w:rsid w:val="007B1CF9"/>
    <w:rsid w:val="007B45F2"/>
    <w:rsid w:val="007B519D"/>
    <w:rsid w:val="007B59A1"/>
    <w:rsid w:val="007B62E9"/>
    <w:rsid w:val="007B73C5"/>
    <w:rsid w:val="007B75B1"/>
    <w:rsid w:val="007C1587"/>
    <w:rsid w:val="007C2696"/>
    <w:rsid w:val="007C2A46"/>
    <w:rsid w:val="007C32B9"/>
    <w:rsid w:val="007C5E32"/>
    <w:rsid w:val="007C78A8"/>
    <w:rsid w:val="007D108A"/>
    <w:rsid w:val="007D3C4A"/>
    <w:rsid w:val="007D4324"/>
    <w:rsid w:val="007D51A0"/>
    <w:rsid w:val="007D5CAE"/>
    <w:rsid w:val="007D648A"/>
    <w:rsid w:val="007D68A3"/>
    <w:rsid w:val="007E062C"/>
    <w:rsid w:val="007E48EE"/>
    <w:rsid w:val="007E520A"/>
    <w:rsid w:val="007E5FBD"/>
    <w:rsid w:val="007E6C95"/>
    <w:rsid w:val="007F18F0"/>
    <w:rsid w:val="007F198F"/>
    <w:rsid w:val="007F3B95"/>
    <w:rsid w:val="007F4191"/>
    <w:rsid w:val="007F48D0"/>
    <w:rsid w:val="007F4979"/>
    <w:rsid w:val="007F6A30"/>
    <w:rsid w:val="007F6C5E"/>
    <w:rsid w:val="007F73EA"/>
    <w:rsid w:val="008024BA"/>
    <w:rsid w:val="0080269C"/>
    <w:rsid w:val="008027EB"/>
    <w:rsid w:val="00804375"/>
    <w:rsid w:val="008045D5"/>
    <w:rsid w:val="00805D17"/>
    <w:rsid w:val="00807A14"/>
    <w:rsid w:val="00810382"/>
    <w:rsid w:val="00814593"/>
    <w:rsid w:val="00814764"/>
    <w:rsid w:val="00815D87"/>
    <w:rsid w:val="008178FB"/>
    <w:rsid w:val="00820B0B"/>
    <w:rsid w:val="00821854"/>
    <w:rsid w:val="008247E4"/>
    <w:rsid w:val="0082527B"/>
    <w:rsid w:val="008261C5"/>
    <w:rsid w:val="00826709"/>
    <w:rsid w:val="008305F9"/>
    <w:rsid w:val="00832C3F"/>
    <w:rsid w:val="008344DF"/>
    <w:rsid w:val="0083475E"/>
    <w:rsid w:val="008352DD"/>
    <w:rsid w:val="00837C0B"/>
    <w:rsid w:val="00837ED8"/>
    <w:rsid w:val="00840B92"/>
    <w:rsid w:val="00840DC0"/>
    <w:rsid w:val="00841005"/>
    <w:rsid w:val="0084319E"/>
    <w:rsid w:val="008454C8"/>
    <w:rsid w:val="0084588A"/>
    <w:rsid w:val="00846218"/>
    <w:rsid w:val="00850E3A"/>
    <w:rsid w:val="0085351D"/>
    <w:rsid w:val="00853F7D"/>
    <w:rsid w:val="008549C3"/>
    <w:rsid w:val="00855107"/>
    <w:rsid w:val="008561B7"/>
    <w:rsid w:val="0085632D"/>
    <w:rsid w:val="0085779D"/>
    <w:rsid w:val="00860787"/>
    <w:rsid w:val="00861666"/>
    <w:rsid w:val="00861BB2"/>
    <w:rsid w:val="00861BB6"/>
    <w:rsid w:val="0086200A"/>
    <w:rsid w:val="0086201B"/>
    <w:rsid w:val="00862878"/>
    <w:rsid w:val="00863045"/>
    <w:rsid w:val="0086395A"/>
    <w:rsid w:val="00865434"/>
    <w:rsid w:val="00867A73"/>
    <w:rsid w:val="00870944"/>
    <w:rsid w:val="0087136A"/>
    <w:rsid w:val="008713AF"/>
    <w:rsid w:val="0087142C"/>
    <w:rsid w:val="008714E9"/>
    <w:rsid w:val="00871F84"/>
    <w:rsid w:val="008725C0"/>
    <w:rsid w:val="00872A1B"/>
    <w:rsid w:val="00874E0B"/>
    <w:rsid w:val="00875540"/>
    <w:rsid w:val="00876E8E"/>
    <w:rsid w:val="0087704A"/>
    <w:rsid w:val="008804D1"/>
    <w:rsid w:val="00880C28"/>
    <w:rsid w:val="00881364"/>
    <w:rsid w:val="00884CEE"/>
    <w:rsid w:val="00884FD5"/>
    <w:rsid w:val="00885C77"/>
    <w:rsid w:val="008915D1"/>
    <w:rsid w:val="008926C9"/>
    <w:rsid w:val="00894440"/>
    <w:rsid w:val="00894EAD"/>
    <w:rsid w:val="00895155"/>
    <w:rsid w:val="0089524A"/>
    <w:rsid w:val="008961E5"/>
    <w:rsid w:val="00896492"/>
    <w:rsid w:val="008979B9"/>
    <w:rsid w:val="00897EF5"/>
    <w:rsid w:val="008A13D1"/>
    <w:rsid w:val="008A1533"/>
    <w:rsid w:val="008A2168"/>
    <w:rsid w:val="008A21FC"/>
    <w:rsid w:val="008A2893"/>
    <w:rsid w:val="008A2B0A"/>
    <w:rsid w:val="008A2BA6"/>
    <w:rsid w:val="008A31A0"/>
    <w:rsid w:val="008A463C"/>
    <w:rsid w:val="008A511D"/>
    <w:rsid w:val="008A5124"/>
    <w:rsid w:val="008A62F2"/>
    <w:rsid w:val="008A6A12"/>
    <w:rsid w:val="008A6F96"/>
    <w:rsid w:val="008B0495"/>
    <w:rsid w:val="008B174F"/>
    <w:rsid w:val="008B2233"/>
    <w:rsid w:val="008B2758"/>
    <w:rsid w:val="008B2C0A"/>
    <w:rsid w:val="008B2F28"/>
    <w:rsid w:val="008B33DD"/>
    <w:rsid w:val="008B4517"/>
    <w:rsid w:val="008B529B"/>
    <w:rsid w:val="008B5A20"/>
    <w:rsid w:val="008B5CB2"/>
    <w:rsid w:val="008B5D64"/>
    <w:rsid w:val="008B6747"/>
    <w:rsid w:val="008B73A9"/>
    <w:rsid w:val="008B7843"/>
    <w:rsid w:val="008B7F34"/>
    <w:rsid w:val="008C0091"/>
    <w:rsid w:val="008C25A8"/>
    <w:rsid w:val="008C2E57"/>
    <w:rsid w:val="008C338D"/>
    <w:rsid w:val="008C3B9E"/>
    <w:rsid w:val="008C5A8E"/>
    <w:rsid w:val="008C64C1"/>
    <w:rsid w:val="008C74C0"/>
    <w:rsid w:val="008D1473"/>
    <w:rsid w:val="008D205B"/>
    <w:rsid w:val="008D7C87"/>
    <w:rsid w:val="008E21AA"/>
    <w:rsid w:val="008E2792"/>
    <w:rsid w:val="008E2A5E"/>
    <w:rsid w:val="008E30B0"/>
    <w:rsid w:val="008E371D"/>
    <w:rsid w:val="008E3C28"/>
    <w:rsid w:val="008E3C90"/>
    <w:rsid w:val="008E3CC4"/>
    <w:rsid w:val="008E4455"/>
    <w:rsid w:val="008E45F6"/>
    <w:rsid w:val="008E4FBA"/>
    <w:rsid w:val="008E505F"/>
    <w:rsid w:val="008E5433"/>
    <w:rsid w:val="008E54E3"/>
    <w:rsid w:val="008E6717"/>
    <w:rsid w:val="008E7C61"/>
    <w:rsid w:val="008F0A7F"/>
    <w:rsid w:val="008F0C24"/>
    <w:rsid w:val="008F0DB7"/>
    <w:rsid w:val="008F13C0"/>
    <w:rsid w:val="008F2D2C"/>
    <w:rsid w:val="008F2F38"/>
    <w:rsid w:val="008F4833"/>
    <w:rsid w:val="008F484A"/>
    <w:rsid w:val="008F4B12"/>
    <w:rsid w:val="008F5B24"/>
    <w:rsid w:val="008F68E5"/>
    <w:rsid w:val="009003A9"/>
    <w:rsid w:val="0090104C"/>
    <w:rsid w:val="00902539"/>
    <w:rsid w:val="00902769"/>
    <w:rsid w:val="009037F1"/>
    <w:rsid w:val="00903939"/>
    <w:rsid w:val="00903F4A"/>
    <w:rsid w:val="00904557"/>
    <w:rsid w:val="009061A4"/>
    <w:rsid w:val="0090646B"/>
    <w:rsid w:val="009103FC"/>
    <w:rsid w:val="00912966"/>
    <w:rsid w:val="00913C97"/>
    <w:rsid w:val="00914417"/>
    <w:rsid w:val="009144B5"/>
    <w:rsid w:val="0091519D"/>
    <w:rsid w:val="009152A8"/>
    <w:rsid w:val="00915C92"/>
    <w:rsid w:val="00922290"/>
    <w:rsid w:val="0092331A"/>
    <w:rsid w:val="009242F7"/>
    <w:rsid w:val="00924E4E"/>
    <w:rsid w:val="0092588C"/>
    <w:rsid w:val="00926248"/>
    <w:rsid w:val="009263AD"/>
    <w:rsid w:val="00926816"/>
    <w:rsid w:val="009275A7"/>
    <w:rsid w:val="009320DD"/>
    <w:rsid w:val="00934049"/>
    <w:rsid w:val="00936A95"/>
    <w:rsid w:val="00940312"/>
    <w:rsid w:val="009403F5"/>
    <w:rsid w:val="00942E5E"/>
    <w:rsid w:val="00943400"/>
    <w:rsid w:val="00943C36"/>
    <w:rsid w:val="00943EBD"/>
    <w:rsid w:val="0094486D"/>
    <w:rsid w:val="0094543D"/>
    <w:rsid w:val="009463C9"/>
    <w:rsid w:val="00946851"/>
    <w:rsid w:val="00946CB3"/>
    <w:rsid w:val="00947BE1"/>
    <w:rsid w:val="0095019D"/>
    <w:rsid w:val="00950794"/>
    <w:rsid w:val="00951CD4"/>
    <w:rsid w:val="009529B0"/>
    <w:rsid w:val="00952FB4"/>
    <w:rsid w:val="0095424B"/>
    <w:rsid w:val="009554D7"/>
    <w:rsid w:val="00955975"/>
    <w:rsid w:val="0095785F"/>
    <w:rsid w:val="00957DC9"/>
    <w:rsid w:val="00960BA7"/>
    <w:rsid w:val="0096135B"/>
    <w:rsid w:val="00961E10"/>
    <w:rsid w:val="0096311F"/>
    <w:rsid w:val="00963CFE"/>
    <w:rsid w:val="00964EF7"/>
    <w:rsid w:val="0096642A"/>
    <w:rsid w:val="00966BF1"/>
    <w:rsid w:val="00966FEC"/>
    <w:rsid w:val="00970076"/>
    <w:rsid w:val="009705AB"/>
    <w:rsid w:val="009707B7"/>
    <w:rsid w:val="00970823"/>
    <w:rsid w:val="00970F62"/>
    <w:rsid w:val="00972561"/>
    <w:rsid w:val="00972A09"/>
    <w:rsid w:val="0097338E"/>
    <w:rsid w:val="009739B8"/>
    <w:rsid w:val="0097524B"/>
    <w:rsid w:val="00975568"/>
    <w:rsid w:val="00975C6E"/>
    <w:rsid w:val="009768A8"/>
    <w:rsid w:val="00976EC2"/>
    <w:rsid w:val="0098046C"/>
    <w:rsid w:val="00980C40"/>
    <w:rsid w:val="00980CBA"/>
    <w:rsid w:val="00981AB8"/>
    <w:rsid w:val="00982701"/>
    <w:rsid w:val="00983575"/>
    <w:rsid w:val="00983E28"/>
    <w:rsid w:val="00985B84"/>
    <w:rsid w:val="009870C5"/>
    <w:rsid w:val="00990317"/>
    <w:rsid w:val="0099265F"/>
    <w:rsid w:val="00992B38"/>
    <w:rsid w:val="00993198"/>
    <w:rsid w:val="009933D4"/>
    <w:rsid w:val="00994984"/>
    <w:rsid w:val="00995419"/>
    <w:rsid w:val="00995F42"/>
    <w:rsid w:val="00996EF3"/>
    <w:rsid w:val="009A13C2"/>
    <w:rsid w:val="009A1811"/>
    <w:rsid w:val="009A3CA9"/>
    <w:rsid w:val="009A5242"/>
    <w:rsid w:val="009A5BDA"/>
    <w:rsid w:val="009A5D9A"/>
    <w:rsid w:val="009A5E0C"/>
    <w:rsid w:val="009A6A46"/>
    <w:rsid w:val="009A79CD"/>
    <w:rsid w:val="009A7B7A"/>
    <w:rsid w:val="009B1A54"/>
    <w:rsid w:val="009B4395"/>
    <w:rsid w:val="009B470E"/>
    <w:rsid w:val="009B48A4"/>
    <w:rsid w:val="009B4966"/>
    <w:rsid w:val="009B4B69"/>
    <w:rsid w:val="009B542C"/>
    <w:rsid w:val="009B5E95"/>
    <w:rsid w:val="009B5FB6"/>
    <w:rsid w:val="009B60C3"/>
    <w:rsid w:val="009B76C2"/>
    <w:rsid w:val="009B7A98"/>
    <w:rsid w:val="009C111D"/>
    <w:rsid w:val="009C1300"/>
    <w:rsid w:val="009C1592"/>
    <w:rsid w:val="009C3021"/>
    <w:rsid w:val="009C58FD"/>
    <w:rsid w:val="009C6DCF"/>
    <w:rsid w:val="009D0470"/>
    <w:rsid w:val="009D1FC7"/>
    <w:rsid w:val="009D30F1"/>
    <w:rsid w:val="009D33B1"/>
    <w:rsid w:val="009D44FD"/>
    <w:rsid w:val="009D5F24"/>
    <w:rsid w:val="009D6213"/>
    <w:rsid w:val="009D6EB9"/>
    <w:rsid w:val="009D72F1"/>
    <w:rsid w:val="009E1A1B"/>
    <w:rsid w:val="009E31F6"/>
    <w:rsid w:val="009E3D0B"/>
    <w:rsid w:val="009E40B5"/>
    <w:rsid w:val="009E4B8C"/>
    <w:rsid w:val="009E53B4"/>
    <w:rsid w:val="009E73FE"/>
    <w:rsid w:val="009E7E12"/>
    <w:rsid w:val="009E7ED5"/>
    <w:rsid w:val="009F14A1"/>
    <w:rsid w:val="009F1923"/>
    <w:rsid w:val="009F20D2"/>
    <w:rsid w:val="009F2283"/>
    <w:rsid w:val="009F243F"/>
    <w:rsid w:val="009F2B18"/>
    <w:rsid w:val="009F4C45"/>
    <w:rsid w:val="009F4DC9"/>
    <w:rsid w:val="009F54A3"/>
    <w:rsid w:val="009F6502"/>
    <w:rsid w:val="00A00039"/>
    <w:rsid w:val="00A0026A"/>
    <w:rsid w:val="00A006E3"/>
    <w:rsid w:val="00A00E88"/>
    <w:rsid w:val="00A00EAE"/>
    <w:rsid w:val="00A028F1"/>
    <w:rsid w:val="00A02985"/>
    <w:rsid w:val="00A02EBD"/>
    <w:rsid w:val="00A02F71"/>
    <w:rsid w:val="00A031E9"/>
    <w:rsid w:val="00A04A81"/>
    <w:rsid w:val="00A05747"/>
    <w:rsid w:val="00A06A4C"/>
    <w:rsid w:val="00A06F8F"/>
    <w:rsid w:val="00A109CE"/>
    <w:rsid w:val="00A11B18"/>
    <w:rsid w:val="00A13021"/>
    <w:rsid w:val="00A133C2"/>
    <w:rsid w:val="00A147A6"/>
    <w:rsid w:val="00A14801"/>
    <w:rsid w:val="00A17ECB"/>
    <w:rsid w:val="00A21378"/>
    <w:rsid w:val="00A22AD4"/>
    <w:rsid w:val="00A22D20"/>
    <w:rsid w:val="00A234FB"/>
    <w:rsid w:val="00A2363C"/>
    <w:rsid w:val="00A23D69"/>
    <w:rsid w:val="00A24D05"/>
    <w:rsid w:val="00A24F39"/>
    <w:rsid w:val="00A2531A"/>
    <w:rsid w:val="00A25AB4"/>
    <w:rsid w:val="00A2698C"/>
    <w:rsid w:val="00A26B95"/>
    <w:rsid w:val="00A26C70"/>
    <w:rsid w:val="00A27B54"/>
    <w:rsid w:val="00A3064B"/>
    <w:rsid w:val="00A30BC1"/>
    <w:rsid w:val="00A31A45"/>
    <w:rsid w:val="00A31FA2"/>
    <w:rsid w:val="00A32112"/>
    <w:rsid w:val="00A32119"/>
    <w:rsid w:val="00A35085"/>
    <w:rsid w:val="00A350A5"/>
    <w:rsid w:val="00A353B3"/>
    <w:rsid w:val="00A3596B"/>
    <w:rsid w:val="00A35C76"/>
    <w:rsid w:val="00A37437"/>
    <w:rsid w:val="00A37776"/>
    <w:rsid w:val="00A40D5F"/>
    <w:rsid w:val="00A40FDD"/>
    <w:rsid w:val="00A412FF"/>
    <w:rsid w:val="00A421D0"/>
    <w:rsid w:val="00A43562"/>
    <w:rsid w:val="00A43E34"/>
    <w:rsid w:val="00A44BC1"/>
    <w:rsid w:val="00A4550C"/>
    <w:rsid w:val="00A460F4"/>
    <w:rsid w:val="00A46FAF"/>
    <w:rsid w:val="00A47EA2"/>
    <w:rsid w:val="00A47F44"/>
    <w:rsid w:val="00A50C3C"/>
    <w:rsid w:val="00A52A3F"/>
    <w:rsid w:val="00A544AD"/>
    <w:rsid w:val="00A55E9C"/>
    <w:rsid w:val="00A56F02"/>
    <w:rsid w:val="00A604AC"/>
    <w:rsid w:val="00A60B59"/>
    <w:rsid w:val="00A61353"/>
    <w:rsid w:val="00A615C0"/>
    <w:rsid w:val="00A6216A"/>
    <w:rsid w:val="00A63574"/>
    <w:rsid w:val="00A654D8"/>
    <w:rsid w:val="00A65AC1"/>
    <w:rsid w:val="00A67608"/>
    <w:rsid w:val="00A7035D"/>
    <w:rsid w:val="00A70A79"/>
    <w:rsid w:val="00A72063"/>
    <w:rsid w:val="00A72B15"/>
    <w:rsid w:val="00A73BFB"/>
    <w:rsid w:val="00A754C0"/>
    <w:rsid w:val="00A77992"/>
    <w:rsid w:val="00A77A56"/>
    <w:rsid w:val="00A77B2D"/>
    <w:rsid w:val="00A80D59"/>
    <w:rsid w:val="00A813A5"/>
    <w:rsid w:val="00A815A4"/>
    <w:rsid w:val="00A82188"/>
    <w:rsid w:val="00A825F4"/>
    <w:rsid w:val="00A8284C"/>
    <w:rsid w:val="00A82B7F"/>
    <w:rsid w:val="00A83D1D"/>
    <w:rsid w:val="00A84B11"/>
    <w:rsid w:val="00A84FDF"/>
    <w:rsid w:val="00A86007"/>
    <w:rsid w:val="00A8603A"/>
    <w:rsid w:val="00A86682"/>
    <w:rsid w:val="00A86990"/>
    <w:rsid w:val="00A86A9F"/>
    <w:rsid w:val="00A86D68"/>
    <w:rsid w:val="00A90802"/>
    <w:rsid w:val="00A90903"/>
    <w:rsid w:val="00A90E54"/>
    <w:rsid w:val="00A9126D"/>
    <w:rsid w:val="00A92A33"/>
    <w:rsid w:val="00A94CF2"/>
    <w:rsid w:val="00A9519C"/>
    <w:rsid w:val="00A95554"/>
    <w:rsid w:val="00A95763"/>
    <w:rsid w:val="00A95AC3"/>
    <w:rsid w:val="00A97D44"/>
    <w:rsid w:val="00A97D57"/>
    <w:rsid w:val="00AA2A0A"/>
    <w:rsid w:val="00AA2A40"/>
    <w:rsid w:val="00AA401A"/>
    <w:rsid w:val="00AA4F3F"/>
    <w:rsid w:val="00AA524D"/>
    <w:rsid w:val="00AA54E3"/>
    <w:rsid w:val="00AA722D"/>
    <w:rsid w:val="00AA7BFE"/>
    <w:rsid w:val="00AA7D1A"/>
    <w:rsid w:val="00AB16C4"/>
    <w:rsid w:val="00AB1745"/>
    <w:rsid w:val="00AB1E2A"/>
    <w:rsid w:val="00AB2548"/>
    <w:rsid w:val="00AB2D41"/>
    <w:rsid w:val="00AB3149"/>
    <w:rsid w:val="00AB442E"/>
    <w:rsid w:val="00AB464D"/>
    <w:rsid w:val="00AB4D30"/>
    <w:rsid w:val="00AB5EF5"/>
    <w:rsid w:val="00AB6FAF"/>
    <w:rsid w:val="00AB77BF"/>
    <w:rsid w:val="00AB7C63"/>
    <w:rsid w:val="00AC1647"/>
    <w:rsid w:val="00AC1863"/>
    <w:rsid w:val="00AC1BE6"/>
    <w:rsid w:val="00AC1F24"/>
    <w:rsid w:val="00AC1F7B"/>
    <w:rsid w:val="00AC31A1"/>
    <w:rsid w:val="00AC3818"/>
    <w:rsid w:val="00AC3C54"/>
    <w:rsid w:val="00AC45DD"/>
    <w:rsid w:val="00AC4E79"/>
    <w:rsid w:val="00AD03B3"/>
    <w:rsid w:val="00AD0E75"/>
    <w:rsid w:val="00AD1BC9"/>
    <w:rsid w:val="00AD1C6A"/>
    <w:rsid w:val="00AD1E69"/>
    <w:rsid w:val="00AD25EF"/>
    <w:rsid w:val="00AD26B9"/>
    <w:rsid w:val="00AD2D5C"/>
    <w:rsid w:val="00AD3968"/>
    <w:rsid w:val="00AD3A66"/>
    <w:rsid w:val="00AD3AD9"/>
    <w:rsid w:val="00AD42C1"/>
    <w:rsid w:val="00AD54AA"/>
    <w:rsid w:val="00AD5A08"/>
    <w:rsid w:val="00AD5BC9"/>
    <w:rsid w:val="00AD65BA"/>
    <w:rsid w:val="00AD7092"/>
    <w:rsid w:val="00AD7311"/>
    <w:rsid w:val="00AD7852"/>
    <w:rsid w:val="00AD7FFD"/>
    <w:rsid w:val="00AE06E4"/>
    <w:rsid w:val="00AE087D"/>
    <w:rsid w:val="00AE0AD0"/>
    <w:rsid w:val="00AE161F"/>
    <w:rsid w:val="00AE1946"/>
    <w:rsid w:val="00AE1A87"/>
    <w:rsid w:val="00AE2079"/>
    <w:rsid w:val="00AE358E"/>
    <w:rsid w:val="00AE5608"/>
    <w:rsid w:val="00AE5F5B"/>
    <w:rsid w:val="00AE681A"/>
    <w:rsid w:val="00AE7C37"/>
    <w:rsid w:val="00AF0317"/>
    <w:rsid w:val="00AF09E1"/>
    <w:rsid w:val="00AF1A1C"/>
    <w:rsid w:val="00AF1BBB"/>
    <w:rsid w:val="00AF201A"/>
    <w:rsid w:val="00AF22D7"/>
    <w:rsid w:val="00AF2A89"/>
    <w:rsid w:val="00AF61E2"/>
    <w:rsid w:val="00AF7905"/>
    <w:rsid w:val="00AF7B22"/>
    <w:rsid w:val="00AF7C35"/>
    <w:rsid w:val="00B01463"/>
    <w:rsid w:val="00B01DF1"/>
    <w:rsid w:val="00B0257E"/>
    <w:rsid w:val="00B03B3C"/>
    <w:rsid w:val="00B03B9D"/>
    <w:rsid w:val="00B042F4"/>
    <w:rsid w:val="00B0502E"/>
    <w:rsid w:val="00B0507C"/>
    <w:rsid w:val="00B052D7"/>
    <w:rsid w:val="00B05BBF"/>
    <w:rsid w:val="00B1113C"/>
    <w:rsid w:val="00B113FD"/>
    <w:rsid w:val="00B1169C"/>
    <w:rsid w:val="00B121B5"/>
    <w:rsid w:val="00B12301"/>
    <w:rsid w:val="00B12873"/>
    <w:rsid w:val="00B12D34"/>
    <w:rsid w:val="00B15DD2"/>
    <w:rsid w:val="00B1638B"/>
    <w:rsid w:val="00B211B0"/>
    <w:rsid w:val="00B21542"/>
    <w:rsid w:val="00B2234E"/>
    <w:rsid w:val="00B22500"/>
    <w:rsid w:val="00B22B5A"/>
    <w:rsid w:val="00B23714"/>
    <w:rsid w:val="00B27414"/>
    <w:rsid w:val="00B275A9"/>
    <w:rsid w:val="00B3043E"/>
    <w:rsid w:val="00B30B60"/>
    <w:rsid w:val="00B357D8"/>
    <w:rsid w:val="00B40743"/>
    <w:rsid w:val="00B4355B"/>
    <w:rsid w:val="00B44558"/>
    <w:rsid w:val="00B468FB"/>
    <w:rsid w:val="00B53669"/>
    <w:rsid w:val="00B53F46"/>
    <w:rsid w:val="00B62227"/>
    <w:rsid w:val="00B623A0"/>
    <w:rsid w:val="00B63028"/>
    <w:rsid w:val="00B633B2"/>
    <w:rsid w:val="00B64D1D"/>
    <w:rsid w:val="00B657B2"/>
    <w:rsid w:val="00B676BC"/>
    <w:rsid w:val="00B71707"/>
    <w:rsid w:val="00B7174F"/>
    <w:rsid w:val="00B73159"/>
    <w:rsid w:val="00B732BE"/>
    <w:rsid w:val="00B73E08"/>
    <w:rsid w:val="00B7633B"/>
    <w:rsid w:val="00B7651D"/>
    <w:rsid w:val="00B76A65"/>
    <w:rsid w:val="00B805D0"/>
    <w:rsid w:val="00B80940"/>
    <w:rsid w:val="00B80A72"/>
    <w:rsid w:val="00B81C7B"/>
    <w:rsid w:val="00B81F07"/>
    <w:rsid w:val="00B82C84"/>
    <w:rsid w:val="00B83740"/>
    <w:rsid w:val="00B83BF5"/>
    <w:rsid w:val="00B83D82"/>
    <w:rsid w:val="00B84189"/>
    <w:rsid w:val="00B84335"/>
    <w:rsid w:val="00B84A6E"/>
    <w:rsid w:val="00B90167"/>
    <w:rsid w:val="00B90ADC"/>
    <w:rsid w:val="00B91799"/>
    <w:rsid w:val="00B91CDC"/>
    <w:rsid w:val="00B91E8D"/>
    <w:rsid w:val="00B9458F"/>
    <w:rsid w:val="00B959B5"/>
    <w:rsid w:val="00B97735"/>
    <w:rsid w:val="00B97890"/>
    <w:rsid w:val="00B97986"/>
    <w:rsid w:val="00BA02C5"/>
    <w:rsid w:val="00BA078A"/>
    <w:rsid w:val="00BA1FD5"/>
    <w:rsid w:val="00BA2075"/>
    <w:rsid w:val="00BA3AE6"/>
    <w:rsid w:val="00BA4266"/>
    <w:rsid w:val="00BA5383"/>
    <w:rsid w:val="00BA546C"/>
    <w:rsid w:val="00BA5B28"/>
    <w:rsid w:val="00BB10EE"/>
    <w:rsid w:val="00BB17EB"/>
    <w:rsid w:val="00BB1818"/>
    <w:rsid w:val="00BB367B"/>
    <w:rsid w:val="00BB64F7"/>
    <w:rsid w:val="00BB6EEC"/>
    <w:rsid w:val="00BB7245"/>
    <w:rsid w:val="00BB79A9"/>
    <w:rsid w:val="00BB7DCD"/>
    <w:rsid w:val="00BC0496"/>
    <w:rsid w:val="00BC16BF"/>
    <w:rsid w:val="00BC18C7"/>
    <w:rsid w:val="00BC3077"/>
    <w:rsid w:val="00BC3BF5"/>
    <w:rsid w:val="00BC57EB"/>
    <w:rsid w:val="00BC5A82"/>
    <w:rsid w:val="00BC6C2D"/>
    <w:rsid w:val="00BC6DDF"/>
    <w:rsid w:val="00BD0C13"/>
    <w:rsid w:val="00BD1643"/>
    <w:rsid w:val="00BD1A89"/>
    <w:rsid w:val="00BD2478"/>
    <w:rsid w:val="00BD2561"/>
    <w:rsid w:val="00BD2CC6"/>
    <w:rsid w:val="00BD3D20"/>
    <w:rsid w:val="00BD3E55"/>
    <w:rsid w:val="00BD60EC"/>
    <w:rsid w:val="00BD7CE5"/>
    <w:rsid w:val="00BE0034"/>
    <w:rsid w:val="00BE01A6"/>
    <w:rsid w:val="00BE02B9"/>
    <w:rsid w:val="00BE12E6"/>
    <w:rsid w:val="00BE1E67"/>
    <w:rsid w:val="00BE2997"/>
    <w:rsid w:val="00BE2E60"/>
    <w:rsid w:val="00BE54A0"/>
    <w:rsid w:val="00BE5F8C"/>
    <w:rsid w:val="00BE6435"/>
    <w:rsid w:val="00BE6945"/>
    <w:rsid w:val="00BE69AE"/>
    <w:rsid w:val="00BE70C2"/>
    <w:rsid w:val="00BF0A97"/>
    <w:rsid w:val="00BF1360"/>
    <w:rsid w:val="00BF528B"/>
    <w:rsid w:val="00BF5465"/>
    <w:rsid w:val="00BF5709"/>
    <w:rsid w:val="00BF5B73"/>
    <w:rsid w:val="00BF5BBC"/>
    <w:rsid w:val="00BF5C31"/>
    <w:rsid w:val="00BF5E7E"/>
    <w:rsid w:val="00BF6462"/>
    <w:rsid w:val="00BF6808"/>
    <w:rsid w:val="00BF75E6"/>
    <w:rsid w:val="00C018E0"/>
    <w:rsid w:val="00C01BF8"/>
    <w:rsid w:val="00C02504"/>
    <w:rsid w:val="00C0326B"/>
    <w:rsid w:val="00C04CA1"/>
    <w:rsid w:val="00C06BC7"/>
    <w:rsid w:val="00C07B03"/>
    <w:rsid w:val="00C109BE"/>
    <w:rsid w:val="00C111B4"/>
    <w:rsid w:val="00C11BB0"/>
    <w:rsid w:val="00C11DB3"/>
    <w:rsid w:val="00C1207C"/>
    <w:rsid w:val="00C127A2"/>
    <w:rsid w:val="00C137FF"/>
    <w:rsid w:val="00C149EF"/>
    <w:rsid w:val="00C14ECC"/>
    <w:rsid w:val="00C15973"/>
    <w:rsid w:val="00C173F7"/>
    <w:rsid w:val="00C17C64"/>
    <w:rsid w:val="00C200D4"/>
    <w:rsid w:val="00C21202"/>
    <w:rsid w:val="00C21D12"/>
    <w:rsid w:val="00C22097"/>
    <w:rsid w:val="00C22100"/>
    <w:rsid w:val="00C233F3"/>
    <w:rsid w:val="00C23979"/>
    <w:rsid w:val="00C24B26"/>
    <w:rsid w:val="00C24D28"/>
    <w:rsid w:val="00C25DF1"/>
    <w:rsid w:val="00C26093"/>
    <w:rsid w:val="00C27325"/>
    <w:rsid w:val="00C27368"/>
    <w:rsid w:val="00C27FE6"/>
    <w:rsid w:val="00C3031D"/>
    <w:rsid w:val="00C30390"/>
    <w:rsid w:val="00C30BF1"/>
    <w:rsid w:val="00C318AE"/>
    <w:rsid w:val="00C31CFB"/>
    <w:rsid w:val="00C32280"/>
    <w:rsid w:val="00C33D00"/>
    <w:rsid w:val="00C35BAE"/>
    <w:rsid w:val="00C36979"/>
    <w:rsid w:val="00C36C41"/>
    <w:rsid w:val="00C36D37"/>
    <w:rsid w:val="00C37646"/>
    <w:rsid w:val="00C37F5D"/>
    <w:rsid w:val="00C404B4"/>
    <w:rsid w:val="00C408E1"/>
    <w:rsid w:val="00C412C1"/>
    <w:rsid w:val="00C42A44"/>
    <w:rsid w:val="00C44CC8"/>
    <w:rsid w:val="00C450DF"/>
    <w:rsid w:val="00C4661B"/>
    <w:rsid w:val="00C503D4"/>
    <w:rsid w:val="00C508B5"/>
    <w:rsid w:val="00C508D6"/>
    <w:rsid w:val="00C521D8"/>
    <w:rsid w:val="00C5241A"/>
    <w:rsid w:val="00C52887"/>
    <w:rsid w:val="00C5290E"/>
    <w:rsid w:val="00C52E0D"/>
    <w:rsid w:val="00C53562"/>
    <w:rsid w:val="00C53A97"/>
    <w:rsid w:val="00C5471A"/>
    <w:rsid w:val="00C548FA"/>
    <w:rsid w:val="00C54FF9"/>
    <w:rsid w:val="00C567D8"/>
    <w:rsid w:val="00C60692"/>
    <w:rsid w:val="00C60C65"/>
    <w:rsid w:val="00C6167B"/>
    <w:rsid w:val="00C61827"/>
    <w:rsid w:val="00C62ADA"/>
    <w:rsid w:val="00C62D69"/>
    <w:rsid w:val="00C632E0"/>
    <w:rsid w:val="00C634FB"/>
    <w:rsid w:val="00C6405C"/>
    <w:rsid w:val="00C64072"/>
    <w:rsid w:val="00C669C2"/>
    <w:rsid w:val="00C70FFD"/>
    <w:rsid w:val="00C72664"/>
    <w:rsid w:val="00C729E8"/>
    <w:rsid w:val="00C74097"/>
    <w:rsid w:val="00C7562B"/>
    <w:rsid w:val="00C763CD"/>
    <w:rsid w:val="00C77513"/>
    <w:rsid w:val="00C77633"/>
    <w:rsid w:val="00C77E07"/>
    <w:rsid w:val="00C81203"/>
    <w:rsid w:val="00C827B8"/>
    <w:rsid w:val="00C82B89"/>
    <w:rsid w:val="00C82D8F"/>
    <w:rsid w:val="00C832B0"/>
    <w:rsid w:val="00C83A9A"/>
    <w:rsid w:val="00C84026"/>
    <w:rsid w:val="00C853DA"/>
    <w:rsid w:val="00C85BF6"/>
    <w:rsid w:val="00C85D36"/>
    <w:rsid w:val="00C861AD"/>
    <w:rsid w:val="00C86FB2"/>
    <w:rsid w:val="00C8796A"/>
    <w:rsid w:val="00C90C42"/>
    <w:rsid w:val="00C91315"/>
    <w:rsid w:val="00C93688"/>
    <w:rsid w:val="00C939E5"/>
    <w:rsid w:val="00C954A6"/>
    <w:rsid w:val="00C97A65"/>
    <w:rsid w:val="00CA0865"/>
    <w:rsid w:val="00CA274A"/>
    <w:rsid w:val="00CA3790"/>
    <w:rsid w:val="00CA37E0"/>
    <w:rsid w:val="00CA3FEE"/>
    <w:rsid w:val="00CA419B"/>
    <w:rsid w:val="00CA6330"/>
    <w:rsid w:val="00CA6613"/>
    <w:rsid w:val="00CA7D35"/>
    <w:rsid w:val="00CA7EE5"/>
    <w:rsid w:val="00CB008F"/>
    <w:rsid w:val="00CB0FB4"/>
    <w:rsid w:val="00CB257D"/>
    <w:rsid w:val="00CB34B6"/>
    <w:rsid w:val="00CB3569"/>
    <w:rsid w:val="00CB3965"/>
    <w:rsid w:val="00CB3E5D"/>
    <w:rsid w:val="00CB3E79"/>
    <w:rsid w:val="00CB57EE"/>
    <w:rsid w:val="00CB5FB7"/>
    <w:rsid w:val="00CB7139"/>
    <w:rsid w:val="00CC03BC"/>
    <w:rsid w:val="00CC13BF"/>
    <w:rsid w:val="00CC2565"/>
    <w:rsid w:val="00CC2C8C"/>
    <w:rsid w:val="00CC57D2"/>
    <w:rsid w:val="00CD0337"/>
    <w:rsid w:val="00CD0989"/>
    <w:rsid w:val="00CD1703"/>
    <w:rsid w:val="00CD1AC2"/>
    <w:rsid w:val="00CD2B2C"/>
    <w:rsid w:val="00CD2F66"/>
    <w:rsid w:val="00CD419D"/>
    <w:rsid w:val="00CD448D"/>
    <w:rsid w:val="00CD64E0"/>
    <w:rsid w:val="00CD6E91"/>
    <w:rsid w:val="00CD7C50"/>
    <w:rsid w:val="00CE05BC"/>
    <w:rsid w:val="00CE0DA7"/>
    <w:rsid w:val="00CE30BD"/>
    <w:rsid w:val="00CE58AB"/>
    <w:rsid w:val="00CE65DD"/>
    <w:rsid w:val="00CE6931"/>
    <w:rsid w:val="00CE75FB"/>
    <w:rsid w:val="00CF0057"/>
    <w:rsid w:val="00CF3A60"/>
    <w:rsid w:val="00D0136B"/>
    <w:rsid w:val="00D01730"/>
    <w:rsid w:val="00D02104"/>
    <w:rsid w:val="00D0242D"/>
    <w:rsid w:val="00D02B92"/>
    <w:rsid w:val="00D03918"/>
    <w:rsid w:val="00D0524A"/>
    <w:rsid w:val="00D05417"/>
    <w:rsid w:val="00D059CB"/>
    <w:rsid w:val="00D05DEC"/>
    <w:rsid w:val="00D06233"/>
    <w:rsid w:val="00D07879"/>
    <w:rsid w:val="00D10327"/>
    <w:rsid w:val="00D103D5"/>
    <w:rsid w:val="00D10EBE"/>
    <w:rsid w:val="00D1102A"/>
    <w:rsid w:val="00D12647"/>
    <w:rsid w:val="00D13545"/>
    <w:rsid w:val="00D13953"/>
    <w:rsid w:val="00D13A1D"/>
    <w:rsid w:val="00D13E0A"/>
    <w:rsid w:val="00D14506"/>
    <w:rsid w:val="00D148F5"/>
    <w:rsid w:val="00D14943"/>
    <w:rsid w:val="00D16162"/>
    <w:rsid w:val="00D16847"/>
    <w:rsid w:val="00D16997"/>
    <w:rsid w:val="00D16CEE"/>
    <w:rsid w:val="00D16DC3"/>
    <w:rsid w:val="00D209DB"/>
    <w:rsid w:val="00D219D9"/>
    <w:rsid w:val="00D22DAC"/>
    <w:rsid w:val="00D24846"/>
    <w:rsid w:val="00D25524"/>
    <w:rsid w:val="00D25B97"/>
    <w:rsid w:val="00D2629D"/>
    <w:rsid w:val="00D34FE0"/>
    <w:rsid w:val="00D356BA"/>
    <w:rsid w:val="00D35F1A"/>
    <w:rsid w:val="00D369F4"/>
    <w:rsid w:val="00D37A7E"/>
    <w:rsid w:val="00D4128A"/>
    <w:rsid w:val="00D41673"/>
    <w:rsid w:val="00D41F75"/>
    <w:rsid w:val="00D43DE4"/>
    <w:rsid w:val="00D44E8F"/>
    <w:rsid w:val="00D47C7B"/>
    <w:rsid w:val="00D50A6E"/>
    <w:rsid w:val="00D50ACF"/>
    <w:rsid w:val="00D52146"/>
    <w:rsid w:val="00D52441"/>
    <w:rsid w:val="00D52E8F"/>
    <w:rsid w:val="00D53055"/>
    <w:rsid w:val="00D55C3B"/>
    <w:rsid w:val="00D5713B"/>
    <w:rsid w:val="00D576C4"/>
    <w:rsid w:val="00D60553"/>
    <w:rsid w:val="00D607B5"/>
    <w:rsid w:val="00D609A1"/>
    <w:rsid w:val="00D61D7B"/>
    <w:rsid w:val="00D6391C"/>
    <w:rsid w:val="00D642D9"/>
    <w:rsid w:val="00D649A6"/>
    <w:rsid w:val="00D658AB"/>
    <w:rsid w:val="00D66B95"/>
    <w:rsid w:val="00D704F9"/>
    <w:rsid w:val="00D71FC1"/>
    <w:rsid w:val="00D72BD9"/>
    <w:rsid w:val="00D73137"/>
    <w:rsid w:val="00D734BA"/>
    <w:rsid w:val="00D735DC"/>
    <w:rsid w:val="00D73AF5"/>
    <w:rsid w:val="00D751C4"/>
    <w:rsid w:val="00D75222"/>
    <w:rsid w:val="00D76B0E"/>
    <w:rsid w:val="00D800FB"/>
    <w:rsid w:val="00D83C1E"/>
    <w:rsid w:val="00D8538B"/>
    <w:rsid w:val="00D85D05"/>
    <w:rsid w:val="00D86F08"/>
    <w:rsid w:val="00D87850"/>
    <w:rsid w:val="00D905EE"/>
    <w:rsid w:val="00D90FF8"/>
    <w:rsid w:val="00D91750"/>
    <w:rsid w:val="00D926C9"/>
    <w:rsid w:val="00D92EDC"/>
    <w:rsid w:val="00D92F47"/>
    <w:rsid w:val="00D948B1"/>
    <w:rsid w:val="00D94E97"/>
    <w:rsid w:val="00D95487"/>
    <w:rsid w:val="00D95691"/>
    <w:rsid w:val="00D95B66"/>
    <w:rsid w:val="00D9668E"/>
    <w:rsid w:val="00D96EC1"/>
    <w:rsid w:val="00DA0374"/>
    <w:rsid w:val="00DA0402"/>
    <w:rsid w:val="00DA06C1"/>
    <w:rsid w:val="00DA1091"/>
    <w:rsid w:val="00DA502A"/>
    <w:rsid w:val="00DA629F"/>
    <w:rsid w:val="00DA643A"/>
    <w:rsid w:val="00DA661C"/>
    <w:rsid w:val="00DA67FF"/>
    <w:rsid w:val="00DA692A"/>
    <w:rsid w:val="00DA7CD3"/>
    <w:rsid w:val="00DB25DC"/>
    <w:rsid w:val="00DB4A3E"/>
    <w:rsid w:val="00DB5649"/>
    <w:rsid w:val="00DB5732"/>
    <w:rsid w:val="00DC446A"/>
    <w:rsid w:val="00DC7799"/>
    <w:rsid w:val="00DD17FB"/>
    <w:rsid w:val="00DD23D7"/>
    <w:rsid w:val="00DD3CB9"/>
    <w:rsid w:val="00DD3E96"/>
    <w:rsid w:val="00DD43F2"/>
    <w:rsid w:val="00DD4967"/>
    <w:rsid w:val="00DD6846"/>
    <w:rsid w:val="00DD7B5B"/>
    <w:rsid w:val="00DE142D"/>
    <w:rsid w:val="00DE1999"/>
    <w:rsid w:val="00DE276C"/>
    <w:rsid w:val="00DE2C69"/>
    <w:rsid w:val="00DE351E"/>
    <w:rsid w:val="00DE47FA"/>
    <w:rsid w:val="00DE4D4D"/>
    <w:rsid w:val="00DE4F32"/>
    <w:rsid w:val="00DE5141"/>
    <w:rsid w:val="00DE59EC"/>
    <w:rsid w:val="00DE7624"/>
    <w:rsid w:val="00DF0300"/>
    <w:rsid w:val="00DF18B1"/>
    <w:rsid w:val="00DF1E3E"/>
    <w:rsid w:val="00DF20B1"/>
    <w:rsid w:val="00DF47CC"/>
    <w:rsid w:val="00DF643C"/>
    <w:rsid w:val="00DF7488"/>
    <w:rsid w:val="00E00161"/>
    <w:rsid w:val="00E0033E"/>
    <w:rsid w:val="00E009B7"/>
    <w:rsid w:val="00E00AAF"/>
    <w:rsid w:val="00E00EF1"/>
    <w:rsid w:val="00E0456D"/>
    <w:rsid w:val="00E1017D"/>
    <w:rsid w:val="00E101B5"/>
    <w:rsid w:val="00E10CE8"/>
    <w:rsid w:val="00E111D7"/>
    <w:rsid w:val="00E127A1"/>
    <w:rsid w:val="00E135C1"/>
    <w:rsid w:val="00E13C64"/>
    <w:rsid w:val="00E1421C"/>
    <w:rsid w:val="00E14C40"/>
    <w:rsid w:val="00E16E2A"/>
    <w:rsid w:val="00E17FAD"/>
    <w:rsid w:val="00E214E5"/>
    <w:rsid w:val="00E2150B"/>
    <w:rsid w:val="00E217DB"/>
    <w:rsid w:val="00E21B5E"/>
    <w:rsid w:val="00E235C7"/>
    <w:rsid w:val="00E24D5C"/>
    <w:rsid w:val="00E2540C"/>
    <w:rsid w:val="00E27704"/>
    <w:rsid w:val="00E27A80"/>
    <w:rsid w:val="00E301A2"/>
    <w:rsid w:val="00E3106A"/>
    <w:rsid w:val="00E321CE"/>
    <w:rsid w:val="00E346FB"/>
    <w:rsid w:val="00E34869"/>
    <w:rsid w:val="00E34924"/>
    <w:rsid w:val="00E35B9E"/>
    <w:rsid w:val="00E366D2"/>
    <w:rsid w:val="00E376AA"/>
    <w:rsid w:val="00E41AD4"/>
    <w:rsid w:val="00E41B98"/>
    <w:rsid w:val="00E41C18"/>
    <w:rsid w:val="00E41FFF"/>
    <w:rsid w:val="00E434D8"/>
    <w:rsid w:val="00E436C9"/>
    <w:rsid w:val="00E4662B"/>
    <w:rsid w:val="00E46C9D"/>
    <w:rsid w:val="00E4733B"/>
    <w:rsid w:val="00E50A4B"/>
    <w:rsid w:val="00E51388"/>
    <w:rsid w:val="00E514B6"/>
    <w:rsid w:val="00E532EE"/>
    <w:rsid w:val="00E53A12"/>
    <w:rsid w:val="00E53C54"/>
    <w:rsid w:val="00E53D2D"/>
    <w:rsid w:val="00E544FB"/>
    <w:rsid w:val="00E545B2"/>
    <w:rsid w:val="00E54CCF"/>
    <w:rsid w:val="00E558EA"/>
    <w:rsid w:val="00E60375"/>
    <w:rsid w:val="00E60834"/>
    <w:rsid w:val="00E6174C"/>
    <w:rsid w:val="00E64A8A"/>
    <w:rsid w:val="00E64E8E"/>
    <w:rsid w:val="00E651FE"/>
    <w:rsid w:val="00E656BD"/>
    <w:rsid w:val="00E673ED"/>
    <w:rsid w:val="00E67CC6"/>
    <w:rsid w:val="00E708BB"/>
    <w:rsid w:val="00E70BB6"/>
    <w:rsid w:val="00E712E6"/>
    <w:rsid w:val="00E72380"/>
    <w:rsid w:val="00E72869"/>
    <w:rsid w:val="00E7382A"/>
    <w:rsid w:val="00E76671"/>
    <w:rsid w:val="00E7684E"/>
    <w:rsid w:val="00E7694A"/>
    <w:rsid w:val="00E80113"/>
    <w:rsid w:val="00E87E4D"/>
    <w:rsid w:val="00E906CF"/>
    <w:rsid w:val="00E913E1"/>
    <w:rsid w:val="00E91971"/>
    <w:rsid w:val="00E927E7"/>
    <w:rsid w:val="00E92B00"/>
    <w:rsid w:val="00E94691"/>
    <w:rsid w:val="00E947D5"/>
    <w:rsid w:val="00E9524B"/>
    <w:rsid w:val="00E9535B"/>
    <w:rsid w:val="00E95EA9"/>
    <w:rsid w:val="00E96319"/>
    <w:rsid w:val="00E965CF"/>
    <w:rsid w:val="00E96D85"/>
    <w:rsid w:val="00E9780F"/>
    <w:rsid w:val="00EA01B9"/>
    <w:rsid w:val="00EA05D9"/>
    <w:rsid w:val="00EA284B"/>
    <w:rsid w:val="00EA35AB"/>
    <w:rsid w:val="00EA44F5"/>
    <w:rsid w:val="00EA73A3"/>
    <w:rsid w:val="00EB11AA"/>
    <w:rsid w:val="00EB197B"/>
    <w:rsid w:val="00EB1DDD"/>
    <w:rsid w:val="00EB2746"/>
    <w:rsid w:val="00EB29A8"/>
    <w:rsid w:val="00EB4C00"/>
    <w:rsid w:val="00EB5505"/>
    <w:rsid w:val="00EB55DB"/>
    <w:rsid w:val="00EB65A5"/>
    <w:rsid w:val="00EB690C"/>
    <w:rsid w:val="00EB6DA1"/>
    <w:rsid w:val="00EB77A1"/>
    <w:rsid w:val="00EB783A"/>
    <w:rsid w:val="00EB7CCA"/>
    <w:rsid w:val="00EC06B8"/>
    <w:rsid w:val="00EC1193"/>
    <w:rsid w:val="00EC1C91"/>
    <w:rsid w:val="00EC2002"/>
    <w:rsid w:val="00EC2687"/>
    <w:rsid w:val="00EC3874"/>
    <w:rsid w:val="00EC5578"/>
    <w:rsid w:val="00EC77DC"/>
    <w:rsid w:val="00EC7E01"/>
    <w:rsid w:val="00ED07EA"/>
    <w:rsid w:val="00ED122E"/>
    <w:rsid w:val="00ED17C7"/>
    <w:rsid w:val="00ED3889"/>
    <w:rsid w:val="00ED4212"/>
    <w:rsid w:val="00ED4494"/>
    <w:rsid w:val="00ED51FD"/>
    <w:rsid w:val="00ED5C5B"/>
    <w:rsid w:val="00ED6276"/>
    <w:rsid w:val="00ED6460"/>
    <w:rsid w:val="00ED73A1"/>
    <w:rsid w:val="00ED7B1F"/>
    <w:rsid w:val="00ED7D52"/>
    <w:rsid w:val="00EE1EAA"/>
    <w:rsid w:val="00EE2498"/>
    <w:rsid w:val="00EE2626"/>
    <w:rsid w:val="00EE29D2"/>
    <w:rsid w:val="00EE412C"/>
    <w:rsid w:val="00EE5316"/>
    <w:rsid w:val="00EE5FD3"/>
    <w:rsid w:val="00EE6112"/>
    <w:rsid w:val="00EE6183"/>
    <w:rsid w:val="00EE68F5"/>
    <w:rsid w:val="00EF021A"/>
    <w:rsid w:val="00EF0BF6"/>
    <w:rsid w:val="00EF3C7A"/>
    <w:rsid w:val="00EF3E6E"/>
    <w:rsid w:val="00EF40BD"/>
    <w:rsid w:val="00EF4BAD"/>
    <w:rsid w:val="00EF57BB"/>
    <w:rsid w:val="00EF6490"/>
    <w:rsid w:val="00EF6601"/>
    <w:rsid w:val="00EF6E80"/>
    <w:rsid w:val="00EF6FB3"/>
    <w:rsid w:val="00EF770F"/>
    <w:rsid w:val="00F02170"/>
    <w:rsid w:val="00F02DC8"/>
    <w:rsid w:val="00F04C79"/>
    <w:rsid w:val="00F0519D"/>
    <w:rsid w:val="00F05D7C"/>
    <w:rsid w:val="00F06AD9"/>
    <w:rsid w:val="00F106B2"/>
    <w:rsid w:val="00F107A3"/>
    <w:rsid w:val="00F1171D"/>
    <w:rsid w:val="00F11A79"/>
    <w:rsid w:val="00F11C1C"/>
    <w:rsid w:val="00F13892"/>
    <w:rsid w:val="00F13D9F"/>
    <w:rsid w:val="00F144D2"/>
    <w:rsid w:val="00F149E5"/>
    <w:rsid w:val="00F15217"/>
    <w:rsid w:val="00F1535D"/>
    <w:rsid w:val="00F16A8F"/>
    <w:rsid w:val="00F16E57"/>
    <w:rsid w:val="00F1732A"/>
    <w:rsid w:val="00F17D52"/>
    <w:rsid w:val="00F23086"/>
    <w:rsid w:val="00F231CA"/>
    <w:rsid w:val="00F23618"/>
    <w:rsid w:val="00F2440E"/>
    <w:rsid w:val="00F257F2"/>
    <w:rsid w:val="00F25C43"/>
    <w:rsid w:val="00F25C50"/>
    <w:rsid w:val="00F25C88"/>
    <w:rsid w:val="00F25CA8"/>
    <w:rsid w:val="00F279DD"/>
    <w:rsid w:val="00F27FB2"/>
    <w:rsid w:val="00F3082C"/>
    <w:rsid w:val="00F3143E"/>
    <w:rsid w:val="00F32BDE"/>
    <w:rsid w:val="00F33C80"/>
    <w:rsid w:val="00F3478E"/>
    <w:rsid w:val="00F35D7B"/>
    <w:rsid w:val="00F37B41"/>
    <w:rsid w:val="00F37E66"/>
    <w:rsid w:val="00F413F3"/>
    <w:rsid w:val="00F4163F"/>
    <w:rsid w:val="00F416A5"/>
    <w:rsid w:val="00F42127"/>
    <w:rsid w:val="00F426F8"/>
    <w:rsid w:val="00F429C1"/>
    <w:rsid w:val="00F45104"/>
    <w:rsid w:val="00F4629E"/>
    <w:rsid w:val="00F469BB"/>
    <w:rsid w:val="00F470A8"/>
    <w:rsid w:val="00F50BD4"/>
    <w:rsid w:val="00F52720"/>
    <w:rsid w:val="00F544F9"/>
    <w:rsid w:val="00F545CC"/>
    <w:rsid w:val="00F54CE1"/>
    <w:rsid w:val="00F55068"/>
    <w:rsid w:val="00F55D48"/>
    <w:rsid w:val="00F563E6"/>
    <w:rsid w:val="00F56E62"/>
    <w:rsid w:val="00F60F2C"/>
    <w:rsid w:val="00F61050"/>
    <w:rsid w:val="00F63093"/>
    <w:rsid w:val="00F63285"/>
    <w:rsid w:val="00F65979"/>
    <w:rsid w:val="00F65AC0"/>
    <w:rsid w:val="00F67FD3"/>
    <w:rsid w:val="00F70102"/>
    <w:rsid w:val="00F7014F"/>
    <w:rsid w:val="00F715C0"/>
    <w:rsid w:val="00F75659"/>
    <w:rsid w:val="00F7569C"/>
    <w:rsid w:val="00F75E84"/>
    <w:rsid w:val="00F7672B"/>
    <w:rsid w:val="00F81FC1"/>
    <w:rsid w:val="00F8244D"/>
    <w:rsid w:val="00F839A9"/>
    <w:rsid w:val="00F84C5E"/>
    <w:rsid w:val="00F8668E"/>
    <w:rsid w:val="00F87AA2"/>
    <w:rsid w:val="00F9001E"/>
    <w:rsid w:val="00F903AC"/>
    <w:rsid w:val="00F90DF5"/>
    <w:rsid w:val="00F9198F"/>
    <w:rsid w:val="00F91DF4"/>
    <w:rsid w:val="00F93777"/>
    <w:rsid w:val="00F93DBC"/>
    <w:rsid w:val="00F946C6"/>
    <w:rsid w:val="00F94D82"/>
    <w:rsid w:val="00F9538C"/>
    <w:rsid w:val="00F954D5"/>
    <w:rsid w:val="00F95ACE"/>
    <w:rsid w:val="00F95B70"/>
    <w:rsid w:val="00F96F21"/>
    <w:rsid w:val="00F975D2"/>
    <w:rsid w:val="00F97C71"/>
    <w:rsid w:val="00FA0780"/>
    <w:rsid w:val="00FA1690"/>
    <w:rsid w:val="00FA24F4"/>
    <w:rsid w:val="00FA2C63"/>
    <w:rsid w:val="00FA37D6"/>
    <w:rsid w:val="00FA5268"/>
    <w:rsid w:val="00FA548C"/>
    <w:rsid w:val="00FA6172"/>
    <w:rsid w:val="00FB061A"/>
    <w:rsid w:val="00FB083F"/>
    <w:rsid w:val="00FB0BBF"/>
    <w:rsid w:val="00FB12BD"/>
    <w:rsid w:val="00FB207F"/>
    <w:rsid w:val="00FB21AC"/>
    <w:rsid w:val="00FB3E22"/>
    <w:rsid w:val="00FB3F09"/>
    <w:rsid w:val="00FB4C33"/>
    <w:rsid w:val="00FB57A7"/>
    <w:rsid w:val="00FB617C"/>
    <w:rsid w:val="00FB61A6"/>
    <w:rsid w:val="00FB6DC9"/>
    <w:rsid w:val="00FB71B7"/>
    <w:rsid w:val="00FC06D5"/>
    <w:rsid w:val="00FC23A9"/>
    <w:rsid w:val="00FC2739"/>
    <w:rsid w:val="00FC2B37"/>
    <w:rsid w:val="00FC2E77"/>
    <w:rsid w:val="00FC398E"/>
    <w:rsid w:val="00FC3A45"/>
    <w:rsid w:val="00FC4426"/>
    <w:rsid w:val="00FC477A"/>
    <w:rsid w:val="00FC485A"/>
    <w:rsid w:val="00FC5016"/>
    <w:rsid w:val="00FC5214"/>
    <w:rsid w:val="00FC5835"/>
    <w:rsid w:val="00FC5B27"/>
    <w:rsid w:val="00FD030C"/>
    <w:rsid w:val="00FD2014"/>
    <w:rsid w:val="00FD2783"/>
    <w:rsid w:val="00FD2EE2"/>
    <w:rsid w:val="00FD381F"/>
    <w:rsid w:val="00FD4DC7"/>
    <w:rsid w:val="00FD5A4A"/>
    <w:rsid w:val="00FD73EE"/>
    <w:rsid w:val="00FD7628"/>
    <w:rsid w:val="00FE30C6"/>
    <w:rsid w:val="00FE358B"/>
    <w:rsid w:val="00FE38F0"/>
    <w:rsid w:val="00FE3C25"/>
    <w:rsid w:val="00FE3EF8"/>
    <w:rsid w:val="00FE4570"/>
    <w:rsid w:val="00FE4679"/>
    <w:rsid w:val="00FE52D2"/>
    <w:rsid w:val="00FE6469"/>
    <w:rsid w:val="00FE6CEF"/>
    <w:rsid w:val="00FE6EDE"/>
    <w:rsid w:val="00FE71B7"/>
    <w:rsid w:val="00FE7301"/>
    <w:rsid w:val="00FE78F9"/>
    <w:rsid w:val="00FF0445"/>
    <w:rsid w:val="00FF116C"/>
    <w:rsid w:val="00FF15E8"/>
    <w:rsid w:val="00FF1B56"/>
    <w:rsid w:val="00FF23BB"/>
    <w:rsid w:val="00FF2706"/>
    <w:rsid w:val="00FF698A"/>
    <w:rsid w:val="00FF6D0C"/>
    <w:rsid w:val="00FF746B"/>
    <w:rsid w:val="05E97064"/>
    <w:rsid w:val="06A63856"/>
    <w:rsid w:val="09AA4BD1"/>
    <w:rsid w:val="0A764C3F"/>
    <w:rsid w:val="106C2CF8"/>
    <w:rsid w:val="10E62E67"/>
    <w:rsid w:val="13C96BA6"/>
    <w:rsid w:val="1902787D"/>
    <w:rsid w:val="1B202F2F"/>
    <w:rsid w:val="1F0C4914"/>
    <w:rsid w:val="20087EEF"/>
    <w:rsid w:val="27167539"/>
    <w:rsid w:val="27540782"/>
    <w:rsid w:val="290548A2"/>
    <w:rsid w:val="2ACF0A28"/>
    <w:rsid w:val="2D686FFF"/>
    <w:rsid w:val="32670EB1"/>
    <w:rsid w:val="37E11F4E"/>
    <w:rsid w:val="395835DE"/>
    <w:rsid w:val="398236A4"/>
    <w:rsid w:val="3A155CAD"/>
    <w:rsid w:val="3B9A7A23"/>
    <w:rsid w:val="3C597D99"/>
    <w:rsid w:val="42563349"/>
    <w:rsid w:val="429A7D7A"/>
    <w:rsid w:val="4ED80FF1"/>
    <w:rsid w:val="4FD25748"/>
    <w:rsid w:val="4FD26070"/>
    <w:rsid w:val="55041DF6"/>
    <w:rsid w:val="57171C59"/>
    <w:rsid w:val="585F62DF"/>
    <w:rsid w:val="5B340431"/>
    <w:rsid w:val="5BA60606"/>
    <w:rsid w:val="5D193622"/>
    <w:rsid w:val="5DEE2A72"/>
    <w:rsid w:val="605E6E7C"/>
    <w:rsid w:val="61357BDD"/>
    <w:rsid w:val="62413A47"/>
    <w:rsid w:val="6379750C"/>
    <w:rsid w:val="653A2068"/>
    <w:rsid w:val="659631DD"/>
    <w:rsid w:val="6974038B"/>
    <w:rsid w:val="713D040C"/>
    <w:rsid w:val="728409C4"/>
    <w:rsid w:val="79F41B44"/>
    <w:rsid w:val="7CD2526D"/>
    <w:rsid w:val="7E366E9B"/>
    <w:rsid w:val="7E37353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semiHidden="0"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name="List Bullet"/>
    <w:lsdException w:qFormat="1"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List Number"/>
    <w:basedOn w:val="1"/>
    <w:semiHidden/>
    <w:unhideWhenUsed/>
    <w:qFormat/>
    <w:uiPriority w:val="99"/>
    <w:pPr>
      <w:numPr>
        <w:ilvl w:val="0"/>
        <w:numId w:val="1"/>
      </w:numPr>
    </w:pPr>
  </w:style>
  <w:style w:type="paragraph" w:styleId="3">
    <w:name w:val="List Bullet"/>
    <w:basedOn w:val="1"/>
    <w:semiHidden/>
    <w:unhideWhenUsed/>
    <w:qFormat/>
    <w:uiPriority w:val="99"/>
    <w:pPr>
      <w:numPr>
        <w:ilvl w:val="0"/>
        <w:numId w:val="2"/>
      </w:numPr>
    </w:pPr>
  </w:style>
  <w:style w:type="paragraph" w:styleId="4">
    <w:name w:val="annotation text"/>
    <w:basedOn w:val="1"/>
    <w:link w:val="30"/>
    <w:semiHidden/>
    <w:unhideWhenUsed/>
    <w:qFormat/>
    <w:uiPriority w:val="99"/>
    <w:pPr>
      <w:widowControl/>
      <w:jc w:val="left"/>
    </w:pPr>
    <w:rPr>
      <w:rFonts w:ascii="Times New Roman" w:hAnsi="Times New Roman"/>
      <w:kern w:val="0"/>
      <w:sz w:val="22"/>
      <w:szCs w:val="20"/>
      <w:lang w:eastAsia="en-US"/>
    </w:rPr>
  </w:style>
  <w:style w:type="paragraph" w:styleId="5">
    <w:name w:val="Balloon Text"/>
    <w:basedOn w:val="1"/>
    <w:link w:val="22"/>
    <w:semiHidden/>
    <w:unhideWhenUsed/>
    <w:qFormat/>
    <w:uiPriority w:val="99"/>
    <w:rPr>
      <w:kern w:val="0"/>
      <w:sz w:val="18"/>
      <w:szCs w:val="18"/>
    </w:rPr>
  </w:style>
  <w:style w:type="paragraph" w:styleId="6">
    <w:name w:val="footer"/>
    <w:basedOn w:val="1"/>
    <w:link w:val="21"/>
    <w:unhideWhenUsed/>
    <w:qFormat/>
    <w:uiPriority w:val="99"/>
    <w:pPr>
      <w:tabs>
        <w:tab w:val="center" w:pos="4153"/>
        <w:tab w:val="right" w:pos="8306"/>
      </w:tabs>
      <w:snapToGrid w:val="0"/>
      <w:jc w:val="left"/>
    </w:pPr>
    <w:rPr>
      <w:kern w:val="0"/>
      <w:sz w:val="18"/>
      <w:szCs w:val="18"/>
    </w:rPr>
  </w:style>
  <w:style w:type="paragraph" w:styleId="7">
    <w:name w:val="header"/>
    <w:basedOn w:val="1"/>
    <w:link w:val="20"/>
    <w:unhideWhenUsed/>
    <w:qFormat/>
    <w:uiPriority w:val="99"/>
    <w:pPr>
      <w:pBdr>
        <w:bottom w:val="single" w:color="auto" w:sz="6" w:space="0"/>
      </w:pBdr>
      <w:tabs>
        <w:tab w:val="center" w:pos="4153"/>
        <w:tab w:val="right" w:pos="8306"/>
      </w:tabs>
      <w:snapToGrid w:val="0"/>
      <w:jc w:val="center"/>
    </w:pPr>
    <w:rPr>
      <w:color w:val="006600"/>
      <w:kern w:val="0"/>
      <w:sz w:val="20"/>
      <w:szCs w:val="18"/>
    </w:rPr>
  </w:style>
  <w:style w:type="paragraph" w:styleId="8">
    <w:name w:val="footnote text"/>
    <w:basedOn w:val="1"/>
    <w:link w:val="31"/>
    <w:unhideWhenUsed/>
    <w:qFormat/>
    <w:uiPriority w:val="99"/>
    <w:pPr>
      <w:snapToGrid w:val="0"/>
      <w:jc w:val="left"/>
    </w:pPr>
    <w:rPr>
      <w:rFonts w:ascii="Times New Roman" w:hAnsi="Times New Roman"/>
      <w:sz w:val="18"/>
      <w:szCs w:val="18"/>
    </w:rPr>
  </w:style>
  <w:style w:type="paragraph" w:styleId="9">
    <w:name w:val="HTML Preformatted"/>
    <w:basedOn w:val="1"/>
    <w:link w:val="2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0">
    <w:name w:val="annotation subject"/>
    <w:basedOn w:val="4"/>
    <w:next w:val="4"/>
    <w:link w:val="34"/>
    <w:semiHidden/>
    <w:unhideWhenUsed/>
    <w:qFormat/>
    <w:uiPriority w:val="99"/>
    <w:pPr>
      <w:widowControl w:val="0"/>
    </w:pPr>
    <w:rPr>
      <w:rFonts w:ascii="Calibri" w:hAnsi="Calibri"/>
      <w:b/>
      <w:bCs/>
      <w:kern w:val="2"/>
      <w:sz w:val="21"/>
      <w:szCs w:val="22"/>
      <w:lang w:eastAsia="zh-CN"/>
    </w:rPr>
  </w:style>
  <w:style w:type="table" w:styleId="12">
    <w:name w:val="Table Grid"/>
    <w:basedOn w:val="11"/>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4">
    <w:name w:val="Strong"/>
    <w:qFormat/>
    <w:uiPriority w:val="22"/>
    <w:rPr>
      <w:b/>
      <w:bCs/>
    </w:rPr>
  </w:style>
  <w:style w:type="character" w:styleId="15">
    <w:name w:val="FollowedHyperlink"/>
    <w:basedOn w:val="13"/>
    <w:semiHidden/>
    <w:unhideWhenUsed/>
    <w:qFormat/>
    <w:uiPriority w:val="99"/>
    <w:rPr>
      <w:color w:val="800080" w:themeColor="followedHyperlink"/>
      <w:u w:val="single"/>
      <w14:textFill>
        <w14:solidFill>
          <w14:schemeClr w14:val="folHlink"/>
        </w14:solidFill>
      </w14:textFill>
    </w:rPr>
  </w:style>
  <w:style w:type="character" w:styleId="16">
    <w:name w:val="Emphasis"/>
    <w:basedOn w:val="13"/>
    <w:qFormat/>
    <w:uiPriority w:val="20"/>
    <w:rPr>
      <w:i/>
      <w:iCs/>
    </w:rPr>
  </w:style>
  <w:style w:type="character" w:styleId="17">
    <w:name w:val="Hyperlink"/>
    <w:unhideWhenUsed/>
    <w:qFormat/>
    <w:uiPriority w:val="99"/>
    <w:rPr>
      <w:color w:val="0000FF"/>
      <w:u w:val="single"/>
    </w:rPr>
  </w:style>
  <w:style w:type="character" w:styleId="18">
    <w:name w:val="annotation reference"/>
    <w:basedOn w:val="13"/>
    <w:semiHidden/>
    <w:unhideWhenUsed/>
    <w:qFormat/>
    <w:uiPriority w:val="99"/>
    <w:rPr>
      <w:sz w:val="21"/>
      <w:szCs w:val="21"/>
    </w:rPr>
  </w:style>
  <w:style w:type="character" w:styleId="19">
    <w:name w:val="footnote reference"/>
    <w:unhideWhenUsed/>
    <w:qFormat/>
    <w:uiPriority w:val="99"/>
    <w:rPr>
      <w:vertAlign w:val="superscript"/>
    </w:rPr>
  </w:style>
  <w:style w:type="character" w:customStyle="1" w:styleId="20">
    <w:name w:val="页眉 字符"/>
    <w:link w:val="7"/>
    <w:qFormat/>
    <w:uiPriority w:val="99"/>
    <w:rPr>
      <w:color w:val="006600"/>
      <w:sz w:val="20"/>
      <w:szCs w:val="18"/>
    </w:rPr>
  </w:style>
  <w:style w:type="character" w:customStyle="1" w:styleId="21">
    <w:name w:val="页脚 字符"/>
    <w:link w:val="6"/>
    <w:semiHidden/>
    <w:qFormat/>
    <w:uiPriority w:val="99"/>
    <w:rPr>
      <w:sz w:val="18"/>
      <w:szCs w:val="18"/>
    </w:rPr>
  </w:style>
  <w:style w:type="character" w:customStyle="1" w:styleId="22">
    <w:name w:val="批注框文本 字符"/>
    <w:link w:val="5"/>
    <w:semiHidden/>
    <w:qFormat/>
    <w:uiPriority w:val="99"/>
    <w:rPr>
      <w:sz w:val="18"/>
      <w:szCs w:val="18"/>
    </w:rPr>
  </w:style>
  <w:style w:type="paragraph" w:styleId="23">
    <w:name w:val="List Paragraph"/>
    <w:basedOn w:val="1"/>
    <w:qFormat/>
    <w:uiPriority w:val="34"/>
    <w:pPr>
      <w:ind w:firstLine="420" w:firstLineChars="200"/>
    </w:pPr>
  </w:style>
  <w:style w:type="character" w:customStyle="1" w:styleId="24">
    <w:name w:val="apple-converted-space"/>
    <w:basedOn w:val="13"/>
    <w:qFormat/>
    <w:uiPriority w:val="0"/>
  </w:style>
  <w:style w:type="character" w:customStyle="1" w:styleId="25">
    <w:name w:val="HTML 预设格式 字符"/>
    <w:link w:val="9"/>
    <w:semiHidden/>
    <w:qFormat/>
    <w:uiPriority w:val="99"/>
    <w:rPr>
      <w:rFonts w:ascii="宋体" w:hAnsi="宋体" w:cs="宋体"/>
      <w:sz w:val="24"/>
      <w:szCs w:val="24"/>
    </w:rPr>
  </w:style>
  <w:style w:type="paragraph" w:customStyle="1" w:styleId="26">
    <w:name w:val="默认"/>
    <w:qFormat/>
    <w:uiPriority w:val="0"/>
    <w:pPr>
      <w:widowControl w:val="0"/>
      <w:tabs>
        <w:tab w:val="left" w:pos="420"/>
      </w:tabs>
      <w:suppressAutoHyphens/>
      <w:jc w:val="both"/>
    </w:pPr>
    <w:rPr>
      <w:rFonts w:ascii="TimesNewRomanPS" w:hAnsi="TimesNewRomanPS" w:eastAsia="宋体" w:cs="TimesNewRomanPS"/>
      <w:color w:val="000000"/>
      <w:kern w:val="2"/>
      <w:sz w:val="24"/>
      <w:szCs w:val="24"/>
      <w:lang w:val="en-US" w:eastAsia="zh-CN" w:bidi="ar-SA"/>
    </w:rPr>
  </w:style>
  <w:style w:type="character" w:customStyle="1" w:styleId="27">
    <w:name w:val="changed"/>
    <w:basedOn w:val="13"/>
    <w:qFormat/>
    <w:uiPriority w:val="0"/>
  </w:style>
  <w:style w:type="character" w:customStyle="1" w:styleId="28">
    <w:name w:val="label"/>
    <w:basedOn w:val="13"/>
    <w:qFormat/>
    <w:uiPriority w:val="0"/>
  </w:style>
  <w:style w:type="character" w:customStyle="1" w:styleId="29">
    <w:name w:val="fontstyle01"/>
    <w:qFormat/>
    <w:uiPriority w:val="0"/>
    <w:rPr>
      <w:rFonts w:hint="default" w:ascii="TimesNewRomanPSMT" w:hAnsi="TimesNewRomanPSMT"/>
      <w:color w:val="000000"/>
      <w:sz w:val="24"/>
      <w:szCs w:val="24"/>
    </w:rPr>
  </w:style>
  <w:style w:type="character" w:customStyle="1" w:styleId="30">
    <w:name w:val="批注文字 字符"/>
    <w:basedOn w:val="13"/>
    <w:link w:val="4"/>
    <w:semiHidden/>
    <w:qFormat/>
    <w:uiPriority w:val="99"/>
    <w:rPr>
      <w:rFonts w:ascii="Times New Roman" w:hAnsi="Times New Roman"/>
      <w:sz w:val="22"/>
      <w:lang w:eastAsia="en-US"/>
    </w:rPr>
  </w:style>
  <w:style w:type="character" w:customStyle="1" w:styleId="31">
    <w:name w:val="脚注文本 字符"/>
    <w:basedOn w:val="13"/>
    <w:link w:val="8"/>
    <w:qFormat/>
    <w:uiPriority w:val="99"/>
    <w:rPr>
      <w:rFonts w:ascii="Times New Roman" w:hAnsi="Times New Roman"/>
      <w:kern w:val="2"/>
      <w:sz w:val="18"/>
      <w:szCs w:val="18"/>
    </w:rPr>
  </w:style>
  <w:style w:type="paragraph" w:customStyle="1" w:styleId="32">
    <w:name w:val="EndNote Bibliography"/>
    <w:basedOn w:val="1"/>
    <w:link w:val="33"/>
    <w:qFormat/>
    <w:uiPriority w:val="0"/>
    <w:pPr>
      <w:widowControl/>
      <w:spacing w:after="160"/>
      <w:jc w:val="left"/>
    </w:pPr>
    <w:rPr>
      <w:rFonts w:cs="Calibri" w:eastAsiaTheme="minorEastAsia"/>
      <w:kern w:val="0"/>
      <w:sz w:val="20"/>
      <w:lang w:eastAsia="en-US"/>
    </w:rPr>
  </w:style>
  <w:style w:type="character" w:customStyle="1" w:styleId="33">
    <w:name w:val="EndNote Bibliography Char"/>
    <w:basedOn w:val="13"/>
    <w:link w:val="32"/>
    <w:qFormat/>
    <w:uiPriority w:val="0"/>
    <w:rPr>
      <w:rFonts w:cs="Calibri" w:eastAsiaTheme="minorEastAsia"/>
      <w:szCs w:val="22"/>
      <w:lang w:eastAsia="en-US"/>
    </w:rPr>
  </w:style>
  <w:style w:type="character" w:customStyle="1" w:styleId="34">
    <w:name w:val="批注主题 字符"/>
    <w:basedOn w:val="30"/>
    <w:link w:val="10"/>
    <w:semiHidden/>
    <w:qFormat/>
    <w:uiPriority w:val="99"/>
    <w:rPr>
      <w:rFonts w:ascii="Times New Roman" w:hAnsi="Times New Roman"/>
      <w:b/>
      <w:bCs/>
      <w:kern w:val="2"/>
      <w:sz w:val="21"/>
      <w:szCs w:val="22"/>
      <w:lang w:eastAsia="en-US"/>
    </w:rPr>
  </w:style>
  <w:style w:type="character" w:customStyle="1" w:styleId="35">
    <w:name w:val="text"/>
    <w:basedOn w:val="13"/>
    <w:qFormat/>
    <w:uiPriority w:val="0"/>
  </w:style>
  <w:style w:type="character" w:customStyle="1" w:styleId="36">
    <w:name w:val="未处理的提及1"/>
    <w:basedOn w:val="13"/>
    <w:semiHidden/>
    <w:unhideWhenUsed/>
    <w:qFormat/>
    <w:uiPriority w:val="99"/>
    <w:rPr>
      <w:color w:val="605E5C"/>
      <w:shd w:val="clear" w:color="auto" w:fill="E1DFDD"/>
    </w:rPr>
  </w:style>
  <w:style w:type="paragraph" w:customStyle="1" w:styleId="37">
    <w:name w:val="修订1"/>
    <w:hidden/>
    <w:semiHidden/>
    <w:qFormat/>
    <w:uiPriority w:val="99"/>
    <w:rPr>
      <w:rFonts w:ascii="Calibri" w:hAnsi="Calibri" w:eastAsia="宋体" w:cs="Times New Roman"/>
      <w:kern w:val="2"/>
      <w:sz w:val="21"/>
      <w:szCs w:val="22"/>
      <w:lang w:val="en-US" w:eastAsia="zh-CN" w:bidi="ar-SA"/>
    </w:rPr>
  </w:style>
  <w:style w:type="character" w:customStyle="1" w:styleId="38">
    <w:name w:val="EndNote Bibliography 字符"/>
    <w:basedOn w:val="13"/>
    <w:qFormat/>
    <w:uiPriority w:val="0"/>
    <w:rPr>
      <w:rFonts w:ascii="等线" w:hAnsi="等线" w:eastAsia="等线"/>
      <w:sz w:val="20"/>
    </w:rPr>
  </w:style>
  <w:style w:type="paragraph" w:customStyle="1" w:styleId="39">
    <w:name w:val="EndNote Bibliography Title"/>
    <w:basedOn w:val="1"/>
    <w:link w:val="40"/>
    <w:qFormat/>
    <w:uiPriority w:val="0"/>
    <w:pPr>
      <w:jc w:val="center"/>
    </w:pPr>
    <w:rPr>
      <w:rFonts w:cs="Calibri"/>
      <w:sz w:val="20"/>
    </w:rPr>
  </w:style>
  <w:style w:type="character" w:customStyle="1" w:styleId="40">
    <w:name w:val="EndNote Bibliography Title 字符"/>
    <w:basedOn w:val="13"/>
    <w:link w:val="39"/>
    <w:qFormat/>
    <w:uiPriority w:val="0"/>
    <w:rPr>
      <w:rFonts w:cs="Calibri"/>
      <w:kern w:val="2"/>
      <w:szCs w:val="22"/>
    </w:rPr>
  </w:style>
  <w:style w:type="paragraph" w:customStyle="1" w:styleId="41">
    <w:name w:val="修订2"/>
    <w:hidden/>
    <w:unhideWhenUsed/>
    <w:qFormat/>
    <w:uiPriority w:val="99"/>
    <w:rPr>
      <w:rFonts w:ascii="Calibri" w:hAnsi="Calibri" w:eastAsia="宋体" w:cs="Times New Roman"/>
      <w:kern w:val="2"/>
      <w:sz w:val="21"/>
      <w:szCs w:val="22"/>
      <w:lang w:val="en-US"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7606E43-60E1-4A6C-B6B4-028117277296}">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1461</Words>
  <Characters>9280</Characters>
  <Lines>42</Lines>
  <Paragraphs>17</Paragraphs>
  <TotalTime>96</TotalTime>
  <ScaleCrop>false</ScaleCrop>
  <LinksUpToDate>false</LinksUpToDate>
  <CharactersWithSpaces>10681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2024-09-09T12:55:00Z</dcterms:created>
  <dc:creator>995599</dc:creator>
  <cp:lastModifiedBy>995599</cp:lastModifiedBy>
  <cp:lastPrinted>2021-12-16T10:24:00Z</cp:lastPrinted>
  <dcterms:modified xsi:type="dcterms:W3CDTF">2026-08-26T07:51:20Z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99795412081F48CDB464381410280B4C_12</vt:lpwstr>
  </property>
  <property fmtid="{D5CDD505-2E9C-101B-9397-08002B2CF9AE}" pid="4" name="KSOTemplateDocerSaveRecord">
    <vt:lpwstr>eyJoZGlkIjoiYjYwMjExMzlhNDU3ZDAyNDIyOGQxZjQ2MGY4ZmZkYWQiLCJ1c2VySWQiOiIyNDg1ODMzNjgifQ==</vt:lpwstr>
  </property>
</Properties>
</file>