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F6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Supplementary Material for Manuscript FEM‑2026‑0130</w:t>
      </w:r>
    </w:p>
    <w:p w14:paraId="76191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Title: Proactive Resilience of Urban Water Supply Cyber‑Physical Systems under Extreme Water Network Malfunctions: An Early Warning Perspective</w:t>
      </w:r>
    </w:p>
    <w:p w14:paraId="1E213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Journal: ENGINEERING Management</w:t>
      </w:r>
    </w:p>
    <w:p w14:paraId="4E1AB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file corresponds to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Supplementary Table S1, the complete table of idealized modeling assumptions, practical impacts, and engineering mitigation options referenced by Section 2.5 of the main manuscript. The main text retains a dedicated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Model Assumptions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 xml:space="preserve"> section that discusses the three assumptions most relevant to the reported results; the full per‑assumption detail is provided here to keep the main text concise.</w:t>
      </w:r>
    </w:p>
    <w:p w14:paraId="52012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26E3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1042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10E4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F724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D51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5657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80A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B3D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5D45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6783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B3EE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F289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C72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Supplementary Table S1. Idealized modeling assumptions, practical impacts, and engineering mitigation options.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61"/>
        <w:gridCol w:w="1586"/>
        <w:gridCol w:w="3720"/>
        <w:gridCol w:w="4981"/>
        <w:gridCol w:w="3326"/>
      </w:tblGrid>
      <w:tr w14:paraId="45E4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0BCB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</w:p>
        </w:tc>
        <w:tc>
          <w:tcPr>
            <w:tcW w:w="0" w:type="auto"/>
          </w:tcPr>
          <w:p w14:paraId="27880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Domain</w:t>
            </w:r>
          </w:p>
        </w:tc>
        <w:tc>
          <w:tcPr>
            <w:tcW w:w="0" w:type="auto"/>
          </w:tcPr>
          <w:p w14:paraId="44420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Idealized assumption</w:t>
            </w:r>
          </w:p>
        </w:tc>
        <w:tc>
          <w:tcPr>
            <w:tcW w:w="0" w:type="auto"/>
          </w:tcPr>
          <w:p w14:paraId="150F4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Practical impact</w:t>
            </w:r>
          </w:p>
        </w:tc>
        <w:tc>
          <w:tcPr>
            <w:tcW w:w="0" w:type="auto"/>
          </w:tcPr>
          <w:p w14:paraId="4CA24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</w:rPr>
              <w:t>Engineering mitigation</w:t>
            </w:r>
          </w:p>
        </w:tc>
      </w:tr>
      <w:tr w14:paraId="6CDBE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5297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A1</w:t>
            </w:r>
          </w:p>
        </w:tc>
        <w:tc>
          <w:tcPr>
            <w:tcW w:w="0" w:type="auto"/>
          </w:tcPr>
          <w:p w14:paraId="29E8C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Temporal resolution</w:t>
            </w:r>
          </w:p>
        </w:tc>
        <w:tc>
          <w:tcPr>
            <w:tcW w:w="0" w:type="auto"/>
          </w:tcPr>
          <w:p w14:paraId="54E71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Sensing and control act on the 300 s step; event times are recorded at step boundaries.</w:t>
            </w:r>
          </w:p>
        </w:tc>
        <w:tc>
          <w:tcPr>
            <w:tcW w:w="0" w:type="auto"/>
          </w:tcPr>
          <w:p w14:paraId="466EE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Sub‑step dynamics below 5 min are unresolved. For example, the two tanks isolate within the same step, and sub‑step interpolation gives a stagger of 1.6 to 2.6 min.</w:t>
            </w:r>
          </w:p>
        </w:tc>
        <w:tc>
          <w:tcPr>
            <w:tcW w:w="0" w:type="auto"/>
          </w:tcPr>
          <w:p w14:paraId="1C89C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Finer SCADA polling or event‑triggered reporting.</w:t>
            </w:r>
          </w:p>
        </w:tc>
      </w:tr>
      <w:tr w14:paraId="1198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607A0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A2</w:t>
            </w:r>
          </w:p>
        </w:tc>
        <w:tc>
          <w:tcPr>
            <w:tcW w:w="0" w:type="auto"/>
          </w:tcPr>
          <w:p w14:paraId="59DBD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Pressure aggregation</w:t>
            </w:r>
          </w:p>
        </w:tc>
        <w:tc>
          <w:tcPr>
            <w:tcW w:w="0" w:type="auto"/>
          </w:tcPr>
          <w:p w14:paraId="1347F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Nodal gauge pressures below zero, which arise at zero‑demand junctions in a drained network under PDA, are clipped at zero in the network average.</w:t>
            </w:r>
          </w:p>
        </w:tc>
        <w:tc>
          <w:tcPr>
            <w:tcW w:w="0" w:type="auto"/>
          </w:tcPr>
          <w:p w14:paraId="42208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The average pressure is slightly conservative during deep degradation.</w:t>
            </w:r>
          </w:p>
        </w:tc>
        <w:tc>
          <w:tcPr>
            <w:tcW w:w="0" w:type="auto"/>
          </w:tcPr>
          <w:p w14:paraId="24F8E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Reporting of per‑junction statistics, as in the nodal pressure maps (Figs. 3(c) and 4(d)).</w:t>
            </w:r>
          </w:p>
        </w:tc>
      </w:tr>
      <w:tr w14:paraId="66CB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A465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A3</w:t>
            </w:r>
          </w:p>
        </w:tc>
        <w:tc>
          <w:tcPr>
            <w:tcW w:w="0" w:type="auto"/>
          </w:tcPr>
          <w:p w14:paraId="6F0E4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Cyber sensing</w:t>
            </w:r>
          </w:p>
        </w:tc>
        <w:tc>
          <w:tcPr>
            <w:tcW w:w="0" w:type="auto"/>
          </w:tcPr>
          <w:p w14:paraId="211D1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Error‑free and continuous telemetry of tank levels and pump states.</w:t>
            </w:r>
          </w:p>
        </w:tc>
        <w:tc>
          <w:tcPr>
            <w:tcW w:w="0" w:type="auto"/>
          </w:tcPr>
          <w:p w14:paraId="3D7C8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Measurement noise or drift could shift trigger times by minutes.</w:t>
            </w:r>
          </w:p>
        </w:tc>
        <w:tc>
          <w:tcPr>
            <w:tcW w:w="0" w:type="auto"/>
          </w:tcPr>
          <w:p w14:paraId="2D71C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Local Kalman filtering and redundant sensing at tanks.</w:t>
            </w:r>
          </w:p>
        </w:tc>
      </w:tr>
      <w:tr w14:paraId="13FE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50" w:hRule="atLeast"/>
        </w:trPr>
        <w:tc>
          <w:tcPr>
            <w:tcW w:w="0" w:type="auto"/>
          </w:tcPr>
          <w:p w14:paraId="271D3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A4</w:t>
            </w:r>
          </w:p>
        </w:tc>
        <w:tc>
          <w:tcPr>
            <w:tcW w:w="0" w:type="auto"/>
          </w:tcPr>
          <w:p w14:paraId="23E78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Communication</w:t>
            </w:r>
          </w:p>
        </w:tc>
        <w:tc>
          <w:tcPr>
            <w:tcW w:w="0" w:type="auto"/>
            <w:shd w:val="clear"/>
            <w:vAlign w:val="top"/>
          </w:tcPr>
          <w:p w14:paraId="702D5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Zero latency and no packet loss between SCADA and PLCs.</w:t>
            </w:r>
          </w:p>
        </w:tc>
        <w:tc>
          <w:tcPr>
            <w:tcW w:w="0" w:type="auto"/>
            <w:shd w:val="clear"/>
            <w:vAlign w:val="top"/>
          </w:tcPr>
          <w:p w14:paraId="6C749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Delayed curtailment commands on the order of seconds to minutes.</w:t>
            </w:r>
          </w:p>
        </w:tc>
        <w:tc>
          <w:tcPr>
            <w:tcW w:w="0" w:type="auto"/>
            <w:shd w:val="clear"/>
            <w:vAlign w:val="top"/>
          </w:tcPr>
          <w:p w14:paraId="130FC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Edge‑computing PLCs with autonomous threshold evaluation.</w:t>
            </w:r>
          </w:p>
        </w:tc>
      </w:tr>
      <w:tr w14:paraId="1636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AB58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A5</w:t>
            </w:r>
          </w:p>
        </w:tc>
        <w:tc>
          <w:tcPr>
            <w:tcW w:w="0" w:type="auto"/>
          </w:tcPr>
          <w:p w14:paraId="36C5B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Control execution</w:t>
            </w:r>
          </w:p>
        </w:tc>
        <w:tc>
          <w:tcPr>
            <w:tcW w:w="0" w:type="auto"/>
          </w:tcPr>
          <w:p w14:paraId="1B66B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Curtailment is applied instantaneously and uniformly at all junctions.</w:t>
            </w:r>
          </w:p>
        </w:tc>
        <w:tc>
          <w:tcPr>
            <w:tcW w:w="0" w:type="auto"/>
          </w:tcPr>
          <w:p w14:paraId="10AFA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Real valve and meter actuation requires finite time, and uniform shedding ignores user heterogeneity.</w:t>
            </w:r>
          </w:p>
        </w:tc>
        <w:tc>
          <w:tcPr>
            <w:tcW w:w="0" w:type="auto"/>
          </w:tcPr>
          <w:p w14:paraId="14064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AMI‑enabled smart meters and pressure‑reducing valves with preset emergency routines; priority grading through w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subscript"/>
              </w:rPr>
              <w:t>j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.</w:t>
            </w:r>
          </w:p>
        </w:tc>
      </w:tr>
      <w:tr w14:paraId="6A96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</w:tcPr>
          <w:p w14:paraId="5ADC4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A6</w:t>
            </w:r>
          </w:p>
        </w:tc>
        <w:tc>
          <w:tcPr>
            <w:tcW w:w="0" w:type="auto"/>
          </w:tcPr>
          <w:p w14:paraId="1E642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Value weighting</w:t>
            </w:r>
          </w:p>
        </w:tc>
        <w:tc>
          <w:tcPr>
            <w:tcW w:w="0" w:type="auto"/>
          </w:tcPr>
          <w:p w14:paraId="46571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Service value is weighted by the normalized demand pattern α(t) rather than by economic loss functions.</w:t>
            </w:r>
          </w:p>
        </w:tc>
        <w:tc>
          <w:tcPr>
            <w:tcW w:w="0" w:type="auto"/>
          </w:tcPr>
          <w:p w14:paraId="36FA0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The value ranking follows system‑wide demand blocks rather than user‑specific criticality.</w:t>
            </w:r>
          </w:p>
        </w:tc>
        <w:tc>
          <w:tcPr>
            <w:tcW w:w="0" w:type="auto"/>
          </w:tcPr>
          <w:p w14:paraId="68749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 xml:space="preserve">Socioeconomic weighting schemes in 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w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subscript"/>
              </w:rPr>
              <w:t>j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.</w:t>
            </w:r>
          </w:p>
        </w:tc>
      </w:tr>
      <w:tr w14:paraId="4673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3F5F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A7</w:t>
            </w:r>
          </w:p>
        </w:tc>
        <w:tc>
          <w:tcPr>
            <w:tcW w:w="0" w:type="auto"/>
          </w:tcPr>
          <w:p w14:paraId="5CDE6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Storage anchor</w:t>
            </w:r>
          </w:p>
        </w:tc>
        <w:tc>
          <w:tcPr>
            <w:tcW w:w="0" w:type="auto"/>
          </w:tcPr>
          <w:p w14:paraId="4428B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 counts tank storage only; pipe volume is excluded from the value ceiling.</w:t>
            </w:r>
          </w:p>
        </w:tc>
        <w:tc>
          <w:tcPr>
            <w:tcW w:w="0" w:type="auto"/>
          </w:tcPr>
          <w:p w14:paraId="6A07E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The ceiling slightly understates the available water, and Rw is slightly conservative.</w:t>
            </w:r>
          </w:p>
        </w:tc>
        <w:tc>
          <w:tcPr>
            <w:tcW w:w="0" w:type="auto"/>
          </w:tcPr>
          <w:p w14:paraId="7C637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Extension of the anchor with pipe storage estimation.</w:t>
            </w:r>
          </w:p>
        </w:tc>
      </w:tr>
      <w:tr w14:paraId="47CD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5DB8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A8</w:t>
            </w:r>
          </w:p>
        </w:tc>
        <w:tc>
          <w:tcPr>
            <w:tcW w:w="0" w:type="auto"/>
          </w:tcPr>
          <w:p w14:paraId="774C7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Hydraulic symmetry</w:t>
            </w:r>
          </w:p>
        </w:tc>
        <w:tc>
          <w:tcPr>
            <w:tcW w:w="0" w:type="auto"/>
          </w:tcPr>
          <w:p w14:paraId="151E0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T1 and T2 share identical settings and exhibit equalized drawdown through the looped network.</w:t>
            </w:r>
          </w:p>
        </w:tc>
        <w:tc>
          <w:tcPr>
            <w:tcW w:w="0" w:type="auto"/>
          </w:tcPr>
          <w:p w14:paraId="53D35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Site‑specific asymmetries would stagger the two isolations.</w:t>
            </w:r>
          </w:p>
        </w:tc>
        <w:tc>
          <w:tcPr>
            <w:tcW w:w="0" w:type="auto"/>
          </w:tcPr>
          <w:p w14:paraId="304B0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Network‑specific calibration and per‑tank reporting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, as in Figs. 4(b) and 4(c).</w:t>
            </w:r>
          </w:p>
        </w:tc>
      </w:tr>
      <w:tr w14:paraId="77F7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6081A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A9</w:t>
            </w:r>
          </w:p>
        </w:tc>
        <w:tc>
          <w:tcPr>
            <w:tcW w:w="0" w:type="auto"/>
          </w:tcPr>
          <w:p w14:paraId="15D8F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Disturbance</w:t>
            </w:r>
          </w:p>
        </w:tc>
        <w:tc>
          <w:tcPr>
            <w:tcW w:w="0" w:type="auto"/>
          </w:tcPr>
          <w:p w14:paraId="5424E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Deterministic step‑function total outage of 24 to 48 h.</w:t>
            </w:r>
          </w:p>
        </w:tc>
        <w:tc>
          <w:tcPr>
            <w:tcW w:w="0" w:type="auto"/>
          </w:tcPr>
          <w:p w14:paraId="38EDC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Real outages may be partial or cascading.</w:t>
            </w:r>
          </w:p>
        </w:tc>
        <w:tc>
          <w:tcPr>
            <w:tcW w:w="0" w:type="auto"/>
          </w:tcPr>
          <w:p w14:paraId="72C22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Multi‑factor scans, including durations of 12 to 48 h (Section 3.4).</w:t>
            </w:r>
          </w:p>
        </w:tc>
      </w:tr>
      <w:tr w14:paraId="7D31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11B7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A10</w:t>
            </w:r>
          </w:p>
        </w:tc>
        <w:tc>
          <w:tcPr>
            <w:tcW w:w="0" w:type="auto"/>
          </w:tcPr>
          <w:p w14:paraId="19434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Water quality</w:t>
            </w:r>
          </w:p>
        </w:tc>
        <w:tc>
          <w:tcPr>
            <w:tcW w:w="0" w:type="auto"/>
          </w:tcPr>
          <w:p w14:paraId="1BF36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No water quality deterioration, such as chlorine decay or water age increase, during emergency supply.</w:t>
            </w:r>
          </w:p>
        </w:tc>
        <w:tc>
          <w:tcPr>
            <w:tcW w:w="0" w:type="auto"/>
          </w:tcPr>
          <w:p w14:paraId="45426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Low velocities under curtailment may increase stagnation.</w:t>
            </w:r>
          </w:p>
        </w:tc>
        <w:tc>
          <w:tcPr>
            <w:tcW w:w="0" w:type="auto"/>
          </w:tcPr>
          <w:p w14:paraId="2F0AC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Limitation of the CRITICAL state duration and post‑event flushing.</w:t>
            </w:r>
          </w:p>
        </w:tc>
      </w:tr>
      <w:tr w14:paraId="75AA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7BF9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A11</w:t>
            </w:r>
          </w:p>
        </w:tc>
        <w:tc>
          <w:tcPr>
            <w:tcW w:w="0" w:type="auto"/>
          </w:tcPr>
          <w:p w14:paraId="09D2E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Pump control</w:t>
            </w:r>
          </w:p>
        </w:tc>
        <w:tc>
          <w:tcPr>
            <w:tcW w:w="0" w:type="auto"/>
          </w:tcPr>
          <w:p w14:paraId="200C2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Pumps are binary (on or off) without variable speed operation.</w:t>
            </w:r>
          </w:p>
        </w:tc>
        <w:tc>
          <w:tcPr>
            <w:tcW w:w="0" w:type="auto"/>
          </w:tcPr>
          <w:p w14:paraId="7EF01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Variable‑frequency‑drive‑based pressure management is not explored.</w:t>
            </w:r>
          </w:p>
        </w:tc>
        <w:tc>
          <w:tcPr>
            <w:tcW w:w="0" w:type="auto"/>
          </w:tcPr>
          <w:p w14:paraId="7741E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Extension of the action set with pump speed modulation.</w:t>
            </w:r>
          </w:p>
        </w:tc>
      </w:tr>
    </w:tbl>
    <w:p w14:paraId="2B230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2026-08-26T07:57:05Z</dcterms:created>
  <dc:creator>19088</dc:creator>
  <cp:lastModifiedBy>995599</cp:lastModifiedBy>
  <dcterms:modified xsi:type="dcterms:W3CDTF">2026-08-26T08:14:46Z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eyJoZGlkIjoiYjYwMjExMzlhNDU3ZDAyNDIyOGQxZjQ2MGY4ZmZkYWQiLCJ1c2VySWQiOiIyNDg1ODMzNjgifQ==</vt:lpwstr>
  </property>
  <property fmtid="{D5CDD505-2E9C-101B-9397-08002B2CF9AE}" pid="4" name="ICV">
    <vt:lpwstr>80A45A2E6ACD402BA1B2A63FFEC7CA88_12</vt:lpwstr>
  </property>
</Properties>
</file>