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80" w:line="264" w:lineRule="auto"/>
      </w:pPr>
      <w:r>
        <w:rPr>
          <w:rFonts w:ascii="Calibri" w:hAnsi="Calibri" w:eastAsia="Microsoft YaHei"/>
          <w:b/>
          <w:i w:val="0"/>
          <w:color w:val="0B2545"/>
          <w:sz w:val="48"/>
        </w:rPr>
        <w:t>工程管理智能体系统落地方案</w:t>
      </w:r>
    </w:p>
    <w:p>
      <w:pPr>
        <w:spacing w:before="0" w:after="320" w:line="264" w:lineRule="auto"/>
      </w:pPr>
      <w:r>
        <w:rPr>
          <w:rFonts w:ascii="Calibri" w:hAnsi="Calibri" w:eastAsia="Microsoft YaHei"/>
          <w:b w:val="0"/>
          <w:i w:val="0"/>
          <w:color w:val="5B6573"/>
          <w:sz w:val="26"/>
        </w:rPr>
        <w:t>基于“项目小管家 Dobby”原型的真实项目实施建议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04"/>
            <w:shd w:fill="E8EEF5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项目属性</w:t>
            </w:r>
          </w:p>
        </w:tc>
        <w:tc>
          <w:tcPr>
            <w:tcW w:type="dxa" w:w="7056"/>
            <w:shd w:fill="E8EEF5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方案定位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适用项目</w:t>
            </w:r>
          </w:p>
        </w:tc>
        <w:tc>
          <w:tcPr>
            <w:tcW w:type="dxa" w:w="7056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普陀区真如镇街道社区卫生服务中心异地扩建项目</w:t>
            </w:r>
          </w:p>
        </w:tc>
      </w:tr>
      <w:tr>
        <w:tc>
          <w:tcPr>
            <w:tcW w:type="dxa" w:w="2304"/>
            <w:shd w:fill="FAFBFC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项目阶段</w:t>
            </w:r>
          </w:p>
        </w:tc>
        <w:tc>
          <w:tcPr>
            <w:tcW w:type="dxa" w:w="7056"/>
            <w:shd w:fill="FAFBFC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施工阶段 - 先覆盖资料、质量安全、任务闭环与周报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建议架构</w:t>
            </w:r>
          </w:p>
        </w:tc>
        <w:tc>
          <w:tcPr>
            <w:tcW w:type="dxa" w:w="7056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1 个主智能体 + 6 个专业子智能体 + 确定性业务服务</w:t>
            </w:r>
          </w:p>
        </w:tc>
      </w:tr>
      <w:tr>
        <w:tc>
          <w:tcPr>
            <w:tcW w:type="dxa" w:w="2304"/>
            <w:shd w:fill="FAFBFC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文档用途</w:t>
            </w:r>
          </w:p>
        </w:tc>
        <w:tc>
          <w:tcPr>
            <w:tcW w:type="dxa" w:w="7056"/>
            <w:shd w:fill="FAFBFC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原型评审、一期范围确认与实施分工依据</w:t>
            </w:r>
          </w:p>
        </w:tc>
      </w:tr>
    </w:tbl>
    <w:p>
      <w:pPr>
        <w:spacing w:before="0" w:after="40" w:line="264" w:lineRule="auto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before="60" w:after="60" w:line="264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22"/>
              </w:rPr>
              <w:t xml:space="preserve">核心结论  </w:t>
            </w:r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将 Dobby 建成项目过程控制中枢，而不是单一问答机器人。每个结论均可追溯至原始资料；派单、关闭、对外消息和报告签发均保留人工审批。</w:t>
            </w:r>
          </w:p>
        </w:tc>
      </w:tr>
    </w:tbl>
    <w:p/>
    <w:p>
      <w:pPr>
        <w:keepNext/>
        <w:spacing w:before="320" w:after="160" w:line="240" w:lineRule="auto"/>
      </w:pPr>
      <w:r>
        <w:rPr>
          <w:rFonts w:ascii="Calibri" w:hAnsi="Calibri" w:eastAsia="Microsoft YaHei"/>
          <w:b/>
          <w:i w:val="0"/>
          <w:color w:val="2E74B5"/>
          <w:sz w:val="32"/>
        </w:rPr>
        <w:t>一、原型到真实系统：需要补齐的能力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原型已覆盖 Dobby 互动、项目状态、任务管理、知识管理、业务工具和 AI 群讨论六类入口，并已具备 WBS、人员、风险源和工序质量指标等工程基础数据。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真实系统需把页面中的模拟数据和模拟回复，替换为可追溯的数据接入、知识检索、任务工作流、权限、定时调度、消息推送、审批留痕和审计日志。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fill="E8EEF5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资料与业务数据</w:t>
            </w:r>
          </w:p>
        </w:tc>
        <w:tc>
          <w:tcPr>
            <w:tcW w:type="dxa" w:w="3312"/>
            <w:shd w:fill="E8EEF5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系统处理</w:t>
            </w:r>
          </w:p>
        </w:tc>
        <w:tc>
          <w:tcPr>
            <w:tcW w:type="dxa" w:w="3168"/>
            <w:shd w:fill="E8EEF5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项目结果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文件、WBS、群消息、照片、监测数据</w:t>
            </w:r>
          </w:p>
        </w:tc>
        <w:tc>
          <w:tcPr>
            <w:tcW w:type="dxa" w:w="3312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校验、分类、关联、检索、规则触发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可追溯的预警、任务草稿、报告草稿和看板</w:t>
            </w:r>
          </w:p>
        </w:tc>
      </w:tr>
      <w:tr>
        <w:tc>
          <w:tcPr>
            <w:tcW w:type="dxa" w:w="2880"/>
            <w:shd w:fill="FAFBFC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任务反馈、复核意见、审批记录</w:t>
            </w:r>
          </w:p>
        </w:tc>
        <w:tc>
          <w:tcPr>
            <w:tcW w:type="dxa" w:w="3312"/>
            <w:shd w:fill="FAFBFC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证据核验、状态推进、版本归档</w:t>
            </w:r>
          </w:p>
        </w:tc>
        <w:tc>
          <w:tcPr>
            <w:tcW w:type="dxa" w:w="3168"/>
            <w:shd w:fill="FAFBFC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完整闭环与可回查的项目过程记录</w:t>
            </w:r>
          </w:p>
        </w:tc>
      </w:tr>
    </w:tbl>
    <w:p>
      <w:pPr>
        <w:spacing w:before="0" w:after="40" w:line="264" w:lineRule="auto"/>
      </w:pPr>
    </w:p>
    <w:p>
      <w:pPr>
        <w:pStyle w:val="ListBullet"/>
        <w:spacing w:before="0" w:after="140" w:line="276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AI 负责识别、归纳、建议和草稿；WBS、阈值、任务状态、权限和审批由规则与人工职责共同控制。</w:t>
      </w:r>
    </w:p>
    <w:p>
      <w:pPr>
        <w:pStyle w:val="ListBullet"/>
        <w:spacing w:before="0" w:after="140" w:line="276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每个结论、任务和报告段落必须记录来源文件、时间、版本、项目/WBS 归属和置信度。</w:t>
      </w:r>
    </w:p>
    <w:p>
      <w:pPr>
        <w:keepNext/>
        <w:spacing w:before="320" w:after="160" w:line="240" w:lineRule="auto"/>
      </w:pPr>
      <w:r>
        <w:rPr>
          <w:rFonts w:ascii="Calibri" w:hAnsi="Calibri" w:eastAsia="Microsoft YaHei"/>
          <w:b/>
          <w:i w:val="0"/>
          <w:color w:val="2E74B5"/>
          <w:sz w:val="32"/>
        </w:rPr>
        <w:t>二、系统的实际使用流程</w:t>
      </w:r>
    </w:p>
    <w:p>
      <w:pPr>
        <w:pStyle w:val="ListNumber"/>
        <w:spacing w:before="0" w:after="140" w:line="276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项目初始化：导入工程描述、组织人员、WBS/总进度计划、风险清单、工序质量指标、合同和规范；配置建设、施工、监理等角色权限。</w:t>
      </w:r>
    </w:p>
    <w:p>
      <w:pPr>
        <w:pStyle w:val="ListNumber"/>
        <w:spacing w:before="0" w:after="140" w:line="276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规则配置：为关键工序配置资料清单、验收条件、风险阈值、整改时限、催办频率和升级路径。</w:t>
      </w:r>
    </w:p>
    <w:p>
      <w:pPr>
        <w:pStyle w:val="ListNumber"/>
        <w:spacing w:before="0" w:after="140" w:line="276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数据接入：从文件库/OA、企业微信项目群、施工日报、会议纪要、巡检照片和监测平台接收信息，并保留来源和版本。</w:t>
      </w:r>
    </w:p>
    <w:p>
      <w:pPr>
        <w:pStyle w:val="ListNumber"/>
        <w:spacing w:before="0" w:after="140" w:line="276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自动整理：完成去重、分类、OCR/文本抽取、WBS和工序归属建议；低置信度信息进入待确认队列。</w:t>
      </w:r>
    </w:p>
    <w:p>
      <w:pPr>
        <w:pStyle w:val="ListNumber"/>
        <w:spacing w:before="0" w:after="140" w:line="276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主动发现：Dobby 按预设时间窗和触发规则识别资料缺失、逾期任务、临近验收条件、监测预警和风险叠加。</w:t>
      </w:r>
    </w:p>
    <w:p>
      <w:pPr>
        <w:pStyle w:val="ListNumber"/>
        <w:spacing w:before="0" w:after="140" w:line="276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任务草稿：生成责任人、截止时间、处理步骤、所需证据和关联来源；项目人员确认后再正式派发。</w:t>
      </w:r>
    </w:p>
    <w:p>
      <w:pPr>
        <w:pStyle w:val="ListNumber"/>
        <w:spacing w:before="0" w:after="140" w:line="276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过程反馈：责任人提交照片、记录、报告或说明；系统检查证据完整性，并提示补充、复核或升级。</w:t>
      </w:r>
    </w:p>
    <w:p>
      <w:pPr>
        <w:pStyle w:val="ListNumber"/>
        <w:spacing w:before="0" w:after="140" w:line="276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人工复核与闭环：安全、质量、监理或项目经理按职责确认；闭环记录归档至任务、WBS和资料库。</w:t>
      </w:r>
    </w:p>
    <w:p>
      <w:pPr>
        <w:pStyle w:val="ListNumber"/>
        <w:spacing w:before="0" w:after="140" w:line="276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汇总决策：按周/月生成风险、进度、资料和任务报告，报告审核后才可正式发布。</w:t>
      </w:r>
    </w:p>
    <w:p>
      <w:pPr>
        <w:keepNext/>
        <w:spacing w:before="320" w:after="160" w:line="240" w:lineRule="auto"/>
      </w:pPr>
      <w:r>
        <w:rPr>
          <w:rFonts w:ascii="Calibri" w:hAnsi="Calibri" w:eastAsia="Microsoft YaHei"/>
          <w:b/>
          <w:i w:val="0"/>
          <w:color w:val="2E74B5"/>
          <w:sz w:val="32"/>
        </w:rPr>
        <w:t>三、智能体总体设计：1 个主智能体 + 6 个子智能体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一期只保留一个面向用户的主智能体 Dobby。它负责识别意图、确定项目与 WBS 上下文、调度专业能力、汇总结论和控制审批边界。专业智能体作为后端服务运行，不需要为每个项目复制一套。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before="60" w:after="60" w:line="264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22"/>
              </w:rPr>
              <w:t xml:space="preserve">架构原则  </w:t>
            </w:r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六类子智能体与原型中的专业能力一一对应；资料、任务、权限、消息和审计保留为确定性系统服务，确保关键状态不可由大模型任意改变。</w:t>
            </w:r>
          </w:p>
        </w:tc>
      </w:tr>
    </w:tbl>
    <w:p/>
    <w:p>
      <w:pPr>
        <w:keepNext/>
        <w:spacing w:before="320" w:after="160" w:line="240" w:lineRule="auto"/>
      </w:pPr>
      <w:r>
        <w:rPr>
          <w:rFonts w:ascii="Calibri" w:hAnsi="Calibri" w:eastAsia="Microsoft YaHei"/>
          <w:b/>
          <w:i w:val="0"/>
          <w:color w:val="2E74B5"/>
          <w:sz w:val="32"/>
        </w:rPr>
        <w:t>四、智能体职责与边界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shd w:fill="E8EEF5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智能体</w:t>
            </w:r>
          </w:p>
        </w:tc>
        <w:tc>
          <w:tcPr>
            <w:tcW w:type="dxa" w:w="1224"/>
            <w:shd w:fill="E8EEF5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定位</w:t>
            </w:r>
          </w:p>
        </w:tc>
        <w:tc>
          <w:tcPr>
            <w:tcW w:type="dxa" w:w="3888"/>
            <w:shd w:fill="E8EEF5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主要职责</w:t>
            </w:r>
          </w:p>
        </w:tc>
        <w:tc>
          <w:tcPr>
            <w:tcW w:type="dxa" w:w="2808"/>
            <w:shd w:fill="E8EEF5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关键边界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Dobby 总控</w:t>
            </w:r>
          </w:p>
        </w:tc>
        <w:tc>
          <w:tcPr>
            <w:tcW w:type="dxa" w:w="1224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主智能体</w:t>
            </w:r>
          </w:p>
        </w:tc>
        <w:tc>
          <w:tcPr>
            <w:tcW w:type="dxa" w:w="3888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接收请求、装配项目上下文、路由子智能体、汇总结论、生成任务草稿和审批建议。</w:t>
            </w:r>
          </w:p>
        </w:tc>
        <w:tc>
          <w:tcPr>
            <w:tcW w:type="dxa" w:w="2808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不得绕过权限；不得直接关闭高风险任务或正式签发报告。</w:t>
            </w:r>
          </w:p>
        </w:tc>
      </w:tr>
      <w:tr>
        <w:tc>
          <w:tcPr>
            <w:tcW w:type="dxa" w:w="1440"/>
            <w:shd w:fill="FAFBFC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数据分析</w:t>
            </w:r>
          </w:p>
        </w:tc>
        <w:tc>
          <w:tcPr>
            <w:tcW w:type="dxa" w:w="1224"/>
            <w:shd w:fill="FAFBFC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子智能体</w:t>
            </w:r>
          </w:p>
        </w:tc>
        <w:tc>
          <w:tcPr>
            <w:tcW w:type="dxa" w:w="3888"/>
            <w:shd w:fill="FAFBFC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按项目、WBS、责任人和时间口径查询进度、逾期、资料、风险与质量数据，输出图表和结论。</w:t>
            </w:r>
          </w:p>
        </w:tc>
        <w:tc>
          <w:tcPr>
            <w:tcW w:type="dxa" w:w="2808"/>
            <w:shd w:fill="FAFBFC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只使用已授权数据；指标口径由系统统一定义。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安全隐患</w:t>
            </w:r>
          </w:p>
        </w:tc>
        <w:tc>
          <w:tcPr>
            <w:tcW w:type="dxa" w:w="1224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子智能体</w:t>
            </w:r>
          </w:p>
        </w:tc>
        <w:tc>
          <w:tcPr>
            <w:tcW w:type="dxa" w:w="3888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分析巡检记录、照片和整改反馈，识别隐患类型、整改建议和复核要点。</w:t>
            </w:r>
          </w:p>
        </w:tc>
        <w:tc>
          <w:tcPr>
            <w:tcW w:type="dxa" w:w="2808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识别结果为建议，现场确认和停工决策由人工负责。</w:t>
            </w:r>
          </w:p>
        </w:tc>
      </w:tr>
      <w:tr>
        <w:tc>
          <w:tcPr>
            <w:tcW w:type="dxa" w:w="1440"/>
            <w:shd w:fill="FAFBFC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趋势预测</w:t>
            </w:r>
          </w:p>
        </w:tc>
        <w:tc>
          <w:tcPr>
            <w:tcW w:type="dxa" w:w="1224"/>
            <w:shd w:fill="FAFBFC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子智能体</w:t>
            </w:r>
          </w:p>
        </w:tc>
        <w:tc>
          <w:tcPr>
            <w:tcW w:type="dxa" w:w="3888"/>
            <w:shd w:fill="FAFBFC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结合监测值、计划窗口、历史记录和阈值判断趋势，给出预警时间窗和置信度。</w:t>
            </w:r>
          </w:p>
        </w:tc>
        <w:tc>
          <w:tcPr>
            <w:tcW w:type="dxa" w:w="2808"/>
            <w:shd w:fill="FAFBFC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预测不等同监测结论，必须标注数据时效与置信度。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风险诊断</w:t>
            </w:r>
          </w:p>
        </w:tc>
        <w:tc>
          <w:tcPr>
            <w:tcW w:type="dxa" w:w="1224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子智能体</w:t>
            </w:r>
          </w:p>
        </w:tc>
        <w:tc>
          <w:tcPr>
            <w:tcW w:type="dxa" w:w="3888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串联风险源、工序、资料、监测与任务状态，形成风险链和转序/验收条件建议。</w:t>
            </w:r>
          </w:p>
        </w:tc>
        <w:tc>
          <w:tcPr>
            <w:tcW w:type="dxa" w:w="2808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不得自行批准开工、验收或转序。</w:t>
            </w:r>
          </w:p>
        </w:tc>
      </w:tr>
      <w:tr>
        <w:tc>
          <w:tcPr>
            <w:tcW w:type="dxa" w:w="1440"/>
            <w:shd w:fill="FAFBFC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报告撰写</w:t>
            </w:r>
          </w:p>
        </w:tc>
        <w:tc>
          <w:tcPr>
            <w:tcW w:type="dxa" w:w="1224"/>
            <w:shd w:fill="FAFBFC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子智能体</w:t>
            </w:r>
          </w:p>
        </w:tc>
        <w:tc>
          <w:tcPr>
            <w:tcW w:type="dxa" w:w="3888"/>
            <w:shd w:fill="FAFBFC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依据确认的数据与来源生成周报、月报、专项报告和整改闭环清单草稿。</w:t>
            </w:r>
          </w:p>
        </w:tc>
        <w:tc>
          <w:tcPr>
            <w:tcW w:type="dxa" w:w="2808"/>
            <w:shd w:fill="FAFBFC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所有关键陈述附引用；输出始终为草稿。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报告审核</w:t>
            </w:r>
          </w:p>
        </w:tc>
        <w:tc>
          <w:tcPr>
            <w:tcW w:type="dxa" w:w="1224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子智能体</w:t>
            </w:r>
          </w:p>
        </w:tc>
        <w:tc>
          <w:tcPr>
            <w:tcW w:type="dxa" w:w="3888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检查报告数据一致性、引用完整性、缺失证据、未闭环事项和表述风险。</w:t>
            </w:r>
          </w:p>
        </w:tc>
        <w:tc>
          <w:tcPr>
            <w:tcW w:type="dxa" w:w="2808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只提出审核意见；正式发布由授权人员完成。</w:t>
            </w:r>
          </w:p>
        </w:tc>
      </w:tr>
    </w:tbl>
    <w:p>
      <w:pPr>
        <w:spacing w:before="0" w:after="40" w:line="264" w:lineRule="auto"/>
      </w:pPr>
    </w:p>
    <w:p>
      <w:pPr>
        <w:keepNext/>
        <w:spacing w:before="320" w:after="160" w:line="240" w:lineRule="auto"/>
      </w:pPr>
      <w:r>
        <w:rPr>
          <w:rFonts w:ascii="Calibri" w:hAnsi="Calibri" w:eastAsia="Microsoft YaHei"/>
          <w:b/>
          <w:i w:val="0"/>
          <w:color w:val="2E74B5"/>
          <w:sz w:val="32"/>
        </w:rPr>
        <w:t>五、不是智能体的核心系统服务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448"/>
            <w:shd w:fill="E8EEF5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系统服务</w:t>
            </w:r>
          </w:p>
        </w:tc>
        <w:tc>
          <w:tcPr>
            <w:tcW w:type="dxa" w:w="6912"/>
            <w:shd w:fill="E8EEF5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必须承担的确定性职责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知识与资料服务</w:t>
            </w:r>
          </w:p>
        </w:tc>
        <w:tc>
          <w:tcPr>
            <w:tcW w:type="dxa" w:w="6912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文件上传、OCR、版本管理、权限、检索、向量索引，以及资料与 WBS/风险/质量项的关联。</w:t>
            </w:r>
          </w:p>
        </w:tc>
      </w:tr>
      <w:tr>
        <w:tc>
          <w:tcPr>
            <w:tcW w:type="dxa" w:w="2448"/>
            <w:shd w:fill="FAFBFC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任务工作流服务</w:t>
            </w:r>
          </w:p>
        </w:tc>
        <w:tc>
          <w:tcPr>
            <w:tcW w:type="dxa" w:w="6912"/>
            <w:shd w:fill="FAFBFC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任务派发、状态机、催办、升级、转办、审批、复核、关闭和全链路审计。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规则与调度服务</w:t>
            </w:r>
          </w:p>
        </w:tc>
        <w:tc>
          <w:tcPr>
            <w:tcW w:type="dxa" w:w="6912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预警阈值、验收清单、定时任务、消息模板、运行频率和异常升级规则。</w:t>
            </w:r>
          </w:p>
        </w:tc>
      </w:tr>
      <w:tr>
        <w:tc>
          <w:tcPr>
            <w:tcW w:type="dxa" w:w="2448"/>
            <w:shd w:fill="FAFBFC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身份与审计服务</w:t>
            </w:r>
          </w:p>
        </w:tc>
        <w:tc>
          <w:tcPr>
            <w:tcW w:type="dxa" w:w="6912"/>
            <w:shd w:fill="FAFBFC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单点登录、角色权限、数据隔离、操作日志、模型输出留痕与版本追踪。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集成服务</w:t>
            </w:r>
          </w:p>
        </w:tc>
        <w:tc>
          <w:tcPr>
            <w:tcW w:type="dxa" w:w="6912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对接企业微信、OA/文件库、监测平台、巡检系统和项目管理软件，并处理失败重试。</w:t>
            </w:r>
          </w:p>
        </w:tc>
      </w:tr>
    </w:tbl>
    <w:p>
      <w:pPr>
        <w:spacing w:before="0" w:after="40" w:line="264" w:lineRule="auto"/>
      </w:pPr>
    </w:p>
    <w:p>
      <w:pPr>
        <w:keepNext/>
        <w:spacing w:before="320" w:after="160" w:line="240" w:lineRule="auto"/>
      </w:pPr>
      <w:r>
        <w:rPr>
          <w:rFonts w:ascii="Calibri" w:hAnsi="Calibri" w:eastAsia="Microsoft YaHei"/>
          <w:b/>
          <w:i w:val="0"/>
          <w:color w:val="2E74B5"/>
          <w:sz w:val="32"/>
        </w:rPr>
        <w:t>六、人工审批边界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shd w:fill="E8EEF5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动作等级</w:t>
            </w:r>
          </w:p>
        </w:tc>
        <w:tc>
          <w:tcPr>
            <w:tcW w:type="dxa" w:w="7200"/>
            <w:shd w:fill="E8EEF5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处理原则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可自动执行</w:t>
            </w:r>
          </w:p>
        </w:tc>
        <w:tc>
          <w:tcPr>
            <w:tcW w:type="dxa" w:w="72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资料分类建议、检索摘要、待办提醒、任务草稿、报告草稿、低风险信息汇总。</w:t>
            </w:r>
          </w:p>
        </w:tc>
      </w:tr>
      <w:tr>
        <w:tc>
          <w:tcPr>
            <w:tcW w:type="dxa" w:w="2160"/>
            <w:shd w:fill="FAFBFC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需人工确认</w:t>
            </w:r>
          </w:p>
        </w:tc>
        <w:tc>
          <w:tcPr>
            <w:tcW w:type="dxa" w:w="7200"/>
            <w:shd w:fill="FAFBFC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任务正式派发、责任人和截止日期调整、资料归档结论、风险等级确认、对外消息。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必须人工决策</w:t>
            </w:r>
          </w:p>
        </w:tc>
        <w:tc>
          <w:tcPr>
            <w:tcW w:type="dxa" w:w="72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停工/复工建议采纳、开工与验收确认、重大风险处置、合同或签证意见、正式报告签发。</w:t>
            </w:r>
          </w:p>
        </w:tc>
      </w:tr>
    </w:tbl>
    <w:p>
      <w:pPr>
        <w:spacing w:before="0" w:after="40" w:line="264" w:lineRule="auto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before="60" w:after="60" w:line="264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22"/>
              </w:rPr>
              <w:t xml:space="preserve">控制底线  </w:t>
            </w:r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任何影响工程安全、质量验收、合同责任或对外沟通的动作，都必须以可追溯证据为依据，并由授权人员完成最终确认。</w:t>
            </w:r>
          </w:p>
        </w:tc>
      </w:tr>
    </w:tbl>
    <w:p/>
    <w:p>
      <w:pPr>
        <w:keepNext/>
        <w:spacing w:before="320" w:after="160" w:line="240" w:lineRule="auto"/>
      </w:pPr>
      <w:r>
        <w:rPr>
          <w:rFonts w:ascii="Calibri" w:hAnsi="Calibri" w:eastAsia="Microsoft YaHei"/>
          <w:b/>
          <w:i w:val="0"/>
          <w:color w:val="2E74B5"/>
          <w:sz w:val="32"/>
        </w:rPr>
        <w:t>七、一期实施建议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建议围绕施工阶段的高频刚需先闭环，不在一期同时追求全量系统集成和复杂预测模型。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04"/>
            <w:shd w:fill="E8EEF5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阶段</w:t>
            </w:r>
          </w:p>
        </w:tc>
        <w:tc>
          <w:tcPr>
            <w:tcW w:type="dxa" w:w="7056"/>
            <w:shd w:fill="E8EEF5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建设重点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一期（建议优先）</w:t>
            </w:r>
          </w:p>
        </w:tc>
        <w:tc>
          <w:tcPr>
            <w:tcW w:type="dxa" w:w="7056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资料入库与检索、WBS/风险/质量关联、AI 任务草稿、人工派单、整改复核闭环、项目看板、周报草稿与审核。</w:t>
            </w:r>
          </w:p>
        </w:tc>
      </w:tr>
      <w:tr>
        <w:tc>
          <w:tcPr>
            <w:tcW w:type="dxa" w:w="2304"/>
            <w:shd w:fill="FAFBFC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二期</w:t>
            </w:r>
          </w:p>
        </w:tc>
        <w:tc>
          <w:tcPr>
            <w:tcW w:type="dxa" w:w="7056"/>
            <w:shd w:fill="FAFBFC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企业微信和 OA 对接、现场照片识别、监测数据接入、定时催办、AI 群讨论同步沉淀。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三期</w:t>
            </w:r>
          </w:p>
        </w:tc>
        <w:tc>
          <w:tcPr>
            <w:tcW w:type="dxa" w:w="7056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进度偏差预测、跨项目风险对比、合同/签证辅助、面向管理层的经营分析。</w:t>
            </w:r>
          </w:p>
        </w:tc>
      </w:tr>
    </w:tbl>
    <w:p>
      <w:pPr>
        <w:spacing w:before="0" w:after="40" w:line="264" w:lineRule="auto"/>
      </w:pPr>
    </w:p>
    <w:p>
      <w:pPr>
        <w:keepNext/>
        <w:spacing w:before="320" w:after="160" w:line="240" w:lineRule="auto"/>
      </w:pPr>
      <w:r>
        <w:rPr>
          <w:rFonts w:ascii="Calibri" w:hAnsi="Calibri" w:eastAsia="Microsoft YaHei"/>
          <w:b/>
          <w:i w:val="0"/>
          <w:color w:val="2E74B5"/>
          <w:sz w:val="32"/>
        </w:rPr>
        <w:t>八、建议的首个可验收闭环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选择一个明确的施工工序或质量安全场景，完成“原始资料进入 - AI识别问题 - 人工确认派单 - 责任人反馈 - 人工复核 - 证据归档 - 周报引用”的完整链路。建议优先选择资料缺失、隐患整改或关键工序验收条件核查。</w:t>
      </w:r>
    </w:p>
    <w:p>
      <w:pPr>
        <w:pStyle w:val="ListBullet"/>
        <w:spacing w:before="0" w:after="140" w:line="276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验收标准：每个 AI 结论都能一键打开原始来源。</w:t>
      </w:r>
    </w:p>
    <w:p>
      <w:pPr>
        <w:pStyle w:val="ListBullet"/>
        <w:spacing w:before="0" w:after="140" w:line="276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验收标准：任务状态、责任人、时限、审批和证据可全程追溯。</w:t>
      </w:r>
    </w:p>
    <w:p>
      <w:pPr>
        <w:pStyle w:val="ListBullet"/>
        <w:spacing w:before="0" w:after="140" w:line="276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验收标准：Dobby 的主动提醒只在规则命中且具备来源依据时触发。</w:t>
      </w:r>
    </w:p>
    <w:p>
      <w:pPr>
        <w:pStyle w:val="ListBullet"/>
        <w:spacing w:before="0" w:after="140" w:line="276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验收标准：周报中的关键数据与任务清单可回查至项目真实数据。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i w:val="0"/>
        <w:color w:val="5B6573"/>
        <w:sz w:val="18"/>
      </w:rPr>
      <w:t xml:space="preserve">内部方案初稿  |  第 </w:t>
    </w:r>
    <w:r>
      <w:fldChar w:fldCharType="begin"/>
      <w:instrText xml:space="preserve">PAGE</w:instrText>
      <w:fldChar w:fldCharType="end"/>
    </w:r>
    <w:r>
      <w:rPr>
        <w:rFonts w:ascii="Calibri" w:hAnsi="Calibri" w:eastAsia="Microsoft YaHei"/>
        <w:b w:val="0"/>
        <w:i w:val="0"/>
        <w:color w:val="5B6573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Microsoft YaHei"/>
        <w:b w:val="0"/>
        <w:i w:val="0"/>
        <w:color w:val="5B6573"/>
        <w:sz w:val="18"/>
      </w:rPr>
      <w:t>项目小管家 Dobby | 工程管理智能体系统落地方案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工程管理智能体系统落地方案</dc:title>
  <dc:subject/>
  <dc:creator>项目小管家 Dobby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