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实用医学杂志稿件审稿意见"/>
    <w:p>
      <w:pPr>
        <w:pStyle w:val="Heading1"/>
      </w:pPr>
      <w:r>
        <w:rPr>
          <w:rFonts w:hint="eastAsia"/>
        </w:rPr>
        <w:t xml:space="preserve">《实用医学杂志》稿件审稿意见</w:t>
      </w:r>
    </w:p>
    <w:p>
      <w:pPr>
        <w:pStyle w:val="FirstParagraph"/>
      </w:pPr>
      <w:r>
        <w:rPr>
          <w:rFonts w:hint="eastAsia"/>
          <w:b/>
          <w:bCs/>
        </w:rPr>
        <w:t xml:space="preserve">稿件题目：</w:t>
      </w:r>
      <w:r>
        <w:t xml:space="preserve"> </w:t>
      </w:r>
      <w:r>
        <w:rPr>
          <w:rFonts w:hint="eastAsia"/>
        </w:rPr>
        <w:t xml:space="preserve">GerdQ量表在高原肥胖合并胃食管反流病的应用研究</w:t>
      </w:r>
      <w:r>
        <w:t xml:space="preserve"> </w:t>
      </w:r>
      <w:r>
        <w:rPr>
          <w:rFonts w:hint="eastAsia"/>
          <w:b/>
          <w:bCs/>
        </w:rPr>
        <w:t xml:space="preserve">稿件类型：</w:t>
      </w:r>
      <w:r>
        <w:t xml:space="preserve"> </w:t>
      </w:r>
      <w:r>
        <w:rPr>
          <w:rFonts w:hint="eastAsia"/>
        </w:rPr>
        <w:t xml:space="preserve">论著（临床研究）</w:t>
      </w:r>
      <w:r>
        <w:t xml:space="preserve"> </w:t>
      </w:r>
      <w:r>
        <w:rPr>
          <w:rFonts w:hint="eastAsia"/>
          <w:b/>
          <w:bCs/>
        </w:rPr>
        <w:t xml:space="preserve">审稿日期：</w:t>
      </w:r>
      <w:r>
        <w:t xml:space="preserve"> </w:t>
      </w:r>
      <w:r>
        <w:rPr>
          <w:rFonts w:hint="eastAsia"/>
        </w:rPr>
        <w:t xml:space="preserve">2026年10月13日</w:t>
      </w:r>
      <w:r>
        <w:t xml:space="preserve"> </w:t>
      </w:r>
      <w:r>
        <w:rPr>
          <w:rFonts w:hint="eastAsia"/>
          <w:b/>
          <w:bCs/>
        </w:rPr>
        <w:t xml:space="preserve">审稿结论：</w:t>
      </w:r>
      <w:r>
        <w:t xml:space="preserve"> </w:t>
      </w:r>
      <w:r>
        <w:rPr>
          <w:rFonts w:hint="eastAsia"/>
          <w:b/>
          <w:bCs/>
        </w:rPr>
        <w:t xml:space="preserve">大修后再审</w:t>
      </w:r>
    </w:p>
    <w:p>
      <w:r>
        <w:pict>
          <v:rect style="width:0;height:1.5pt" o:hralign="center" o:hrstd="t" o:hr="t"/>
        </w:pict>
      </w:r>
    </w:p>
    <w:bookmarkStart w:id="12" w:name="一编辑初审意见形式与规范"/>
    <w:p>
      <w:pPr>
        <w:pStyle w:val="Heading2"/>
      </w:pPr>
      <w:r>
        <w:rPr>
          <w:rFonts w:hint="eastAsia"/>
        </w:rPr>
        <w:t xml:space="preserve">一、编辑初审意见（形式与规范）</w:t>
      </w:r>
    </w:p>
    <w:bookmarkStart w:id="9" w:name="总体评价"/>
    <w:p>
      <w:pPr>
        <w:pStyle w:val="Heading3"/>
      </w:pPr>
      <w:r>
        <w:t xml:space="preserve">1.1 </w:t>
      </w:r>
      <w:r>
        <w:rPr>
          <w:rFonts w:hint="eastAsia"/>
        </w:rPr>
        <w:t xml:space="preserve">总体评价</w:t>
      </w:r>
    </w:p>
    <w:p>
      <w:pPr>
        <w:pStyle w:val="FirstParagraph"/>
      </w:pPr>
      <w:r>
        <w:rPr>
          <w:rFonts w:hint="eastAsia"/>
        </w:rPr>
        <w:t xml:space="preserve">选题有地域特色。高原地区长期居住的肥胖人群中，GERD症状问卷的适用性和减重干预的效果，国内少有系统报道，对高原地区基层诊疗有一定参考价值，符合本刊”实用、面向临床”的定位。数据完整，统计分析较规范。但稿件在研究设计表述、结果与结论的匹配、参考文献准确性和编排规范等方面问题较多，需大修。</w:t>
      </w:r>
    </w:p>
    <w:bookmarkEnd w:id="9"/>
    <w:bookmarkStart w:id="10" w:name="形式审查问题"/>
    <w:p>
      <w:pPr>
        <w:pStyle w:val="Heading3"/>
      </w:pPr>
      <w:r>
        <w:t xml:space="preserve">1.2 </w:t>
      </w:r>
      <w:r>
        <w:rPr>
          <w:rFonts w:hint="eastAsia"/>
        </w:rPr>
        <w:t xml:space="preserve">形式审查问题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问题</w:t>
            </w:r>
          </w:p>
        </w:tc>
        <w:tc>
          <w:tcPr/>
          <w:p>
            <w:pPr>
              <w:pStyle w:val="Compact"/>
            </w:pPr>
            <w:r>
              <w:rPr>
                <w:rFonts w:hint="eastAsia"/>
              </w:rPr>
              <w:t xml:space="preserve">要求</w:t>
            </w:r>
          </w:p>
        </w:tc>
      </w:tr>
      <w:tr>
        <w:tc>
          <w:tcPr/>
          <w:p>
            <w:pPr>
              <w:pStyle w:val="Compact"/>
            </w:pPr>
            <w:r>
              <w:t xml:space="preserve">1</w:t>
            </w:r>
          </w:p>
        </w:tc>
        <w:tc>
          <w:tcPr/>
          <w:p>
            <w:pPr>
              <w:pStyle w:val="Compact"/>
            </w:pPr>
            <w:r>
              <w:rPr>
                <w:rFonts w:hint="eastAsia"/>
              </w:rPr>
              <w:t xml:space="preserve">题名中”高原肥胖合并胃食管反流病”不准确：研究对象是”肥胖伴反流症状的就诊者”，其中23.3%未确诊GERD</w:t>
            </w:r>
          </w:p>
        </w:tc>
        <w:tc>
          <w:tcPr/>
          <w:p>
            <w:pPr>
              <w:pStyle w:val="Compact"/>
            </w:pPr>
            <w:r>
              <w:rPr>
                <w:rFonts w:hint="eastAsia"/>
              </w:rPr>
              <w:t xml:space="preserve">题名改为”GerdQ量表对高原地区肥胖患者胃食管反流病的诊断价值及短期疗效相关因素分析”或类似表述</w:t>
            </w:r>
          </w:p>
        </w:tc>
      </w:tr>
      <w:tr>
        <w:tc>
          <w:tcPr/>
          <w:p>
            <w:pPr>
              <w:pStyle w:val="Compact"/>
            </w:pPr>
            <w:r>
              <w:t xml:space="preserve">2</w:t>
            </w:r>
          </w:p>
        </w:tc>
        <w:tc>
          <w:tcPr/>
          <w:p>
            <w:pPr>
              <w:pStyle w:val="Compact"/>
            </w:pPr>
            <w:r>
              <w:rPr>
                <w:rFonts w:hint="eastAsia"/>
              </w:rPr>
              <w:t xml:space="preserve">中英文摘要内容不一致。英文摘要报告了Cronbach’s</w:t>
            </w:r>
            <w:r>
              <w:t xml:space="preserve"> α=0.281、McDonald’s </w:t>
            </w:r>
            <w:r>
              <w:rPr>
                <w:rFonts w:hint="eastAsia"/>
              </w:rPr>
              <w:t xml:space="preserve">ω=0.422，中文摘要和正文均未报告</w:t>
            </w:r>
          </w:p>
        </w:tc>
        <w:tc>
          <w:tcPr/>
          <w:p>
            <w:pPr>
              <w:pStyle w:val="Compact"/>
            </w:pPr>
            <w:r>
              <w:rPr>
                <w:rFonts w:hint="eastAsia"/>
              </w:rPr>
              <w:t xml:space="preserve">中英文摘要须一一对应；见专家意见第8条</w:t>
            </w:r>
          </w:p>
        </w:tc>
      </w:tr>
      <w:tr>
        <w:tc>
          <w:tcPr/>
          <w:p>
            <w:pPr>
              <w:pStyle w:val="Compact"/>
            </w:pPr>
            <w:r>
              <w:t xml:space="preserve">3</w:t>
            </w:r>
          </w:p>
        </w:tc>
        <w:tc>
          <w:tcPr/>
          <w:p>
            <w:pPr>
              <w:pStyle w:val="Compact"/>
            </w:pPr>
            <w:r>
              <w:rPr>
                <w:rFonts w:hint="eastAsia"/>
              </w:rPr>
              <w:t xml:space="preserve">表、图编号不连续：表格编号缺”表3”，由表2直接跳至表4；正文”见表2、图2”实际对应图1，缺图2</w:t>
            </w:r>
          </w:p>
        </w:tc>
        <w:tc>
          <w:tcPr/>
          <w:p>
            <w:pPr>
              <w:pStyle w:val="Compact"/>
            </w:pPr>
            <w:r>
              <w:rPr>
                <w:rFonts w:hint="eastAsia"/>
              </w:rPr>
              <w:t xml:space="preserve">按出现顺序连续编号，修改稿已重排为表1</w:t>
            </w:r>
            <w:r>
              <w:rPr>
                <w:rFonts w:hint="eastAsia"/>
                <w:vertAlign w:val="subscript"/>
              </w:rPr>
              <w:t xml:space="preserve">6、图1</w:t>
            </w:r>
            <w:r>
              <w:t xml:space="preserve">5</w:t>
            </w:r>
          </w:p>
        </w:tc>
      </w:tr>
      <w:tr>
        <w:tc>
          <w:tcPr/>
          <w:p>
            <w:pPr>
              <w:pStyle w:val="Compact"/>
            </w:pPr>
            <w:r>
              <w:t xml:space="preserve">4</w:t>
            </w:r>
          </w:p>
        </w:tc>
        <w:tc>
          <w:tcPr/>
          <w:p>
            <w:pPr>
              <w:pStyle w:val="Compact"/>
            </w:pPr>
            <w:r>
              <w:rPr>
                <w:rFonts w:hint="eastAsia"/>
              </w:rPr>
              <w:t xml:space="preserve">删去列线图后，原表7”列线图赋值”列、表8、图7、图8不再保留</w:t>
            </w:r>
          </w:p>
        </w:tc>
        <w:tc>
          <w:tcPr/>
          <w:p>
            <w:pPr>
              <w:pStyle w:val="Compact"/>
            </w:pPr>
            <w:r>
              <w:rPr>
                <w:rFonts w:hint="eastAsia"/>
              </w:rPr>
              <w:t xml:space="preserve">见专家意见第6条</w:t>
            </w:r>
          </w:p>
        </w:tc>
      </w:tr>
      <w:tr>
        <w:tc>
          <w:tcPr/>
          <w:p>
            <w:pPr>
              <w:pStyle w:val="Compact"/>
            </w:pPr>
            <w:r>
              <w:t xml:space="preserve">5</w:t>
            </w:r>
          </w:p>
        </w:tc>
        <w:tc>
          <w:tcPr/>
          <w:p>
            <w:pPr>
              <w:pStyle w:val="Compact"/>
            </w:pPr>
            <w:r>
              <w:rPr>
                <w:rFonts w:hint="eastAsia"/>
              </w:rPr>
              <w:t xml:space="preserve">局限性中提到”机器学习模型”，但方法和结果中并未开展</w:t>
            </w:r>
          </w:p>
        </w:tc>
        <w:tc>
          <w:tcPr/>
          <w:p>
            <w:pPr>
              <w:pStyle w:val="Compact"/>
            </w:pPr>
            <w:r>
              <w:rPr>
                <w:rFonts w:hint="eastAsia"/>
              </w:rPr>
              <w:t xml:space="preserve">删除</w:t>
            </w:r>
          </w:p>
        </w:tc>
      </w:tr>
      <w:tr>
        <w:tc>
          <w:tcPr/>
          <w:p>
            <w:pPr>
              <w:pStyle w:val="Compact"/>
            </w:pPr>
            <w:r>
              <w:t xml:space="preserve">6</w:t>
            </w:r>
          </w:p>
        </w:tc>
        <w:tc>
          <w:tcPr/>
          <w:p>
            <w:pPr>
              <w:pStyle w:val="Compact"/>
            </w:pPr>
            <w:r>
              <w:rPr>
                <w:rFonts w:hint="eastAsia"/>
              </w:rPr>
              <w:t xml:space="preserve">统计软件厂商有误：SPSS</w:t>
            </w:r>
            <w:r>
              <w:t xml:space="preserve"> </w:t>
            </w:r>
            <w:r>
              <w:rPr>
                <w:rFonts w:hint="eastAsia"/>
              </w:rPr>
              <w:t xml:space="preserve">28.0属IBM</w:t>
            </w:r>
            <w:r>
              <w:t xml:space="preserve"> </w:t>
            </w:r>
            <w:r>
              <w:rPr>
                <w:rFonts w:hint="eastAsia"/>
              </w:rPr>
              <w:t xml:space="preserve">Corp.（Armonk,</w:t>
            </w:r>
            <w:r>
              <w:t xml:space="preserve"> NY, </w:t>
            </w:r>
            <w:r>
              <w:rPr>
                <w:rFonts w:hint="eastAsia"/>
              </w:rPr>
              <w:t xml:space="preserve">USA），不是SPSS</w:t>
            </w:r>
            <w:r>
              <w:t xml:space="preserve"> Inc.</w:t>
            </w:r>
          </w:p>
        </w:tc>
        <w:tc>
          <w:tcPr/>
          <w:p>
            <w:pPr>
              <w:pStyle w:val="Compact"/>
            </w:pPr>
            <w:r>
              <w:rPr>
                <w:rFonts w:hint="eastAsia"/>
              </w:rPr>
              <w:t xml:space="preserve">已更正</w:t>
            </w:r>
          </w:p>
        </w:tc>
      </w:tr>
      <w:tr>
        <w:tc>
          <w:tcPr/>
          <w:p>
            <w:pPr>
              <w:pStyle w:val="Compact"/>
            </w:pPr>
            <w:r>
              <w:t xml:space="preserve">7</w:t>
            </w:r>
          </w:p>
        </w:tc>
        <w:tc>
          <w:tcPr/>
          <w:p>
            <w:pPr>
              <w:pStyle w:val="Compact"/>
            </w:pPr>
            <w:r>
              <w:rPr>
                <w:rFonts w:hint="eastAsia"/>
              </w:rPr>
              <w:t xml:space="preserve">计量单位和符号格式不统一，如”40mg”</w:t>
            </w:r>
            <w:r>
              <w:t xml:space="preserve">“14d”</w:t>
            </w:r>
            <w:r>
              <w:t xml:space="preserve">“3000m”</w:t>
            </w:r>
            <w:r>
              <w:rPr>
                <w:rFonts w:hint="eastAsia"/>
              </w:rPr>
              <w:t xml:space="preserve">等数字与单位之间缺空格，</w:t>
            </w:r>
            <w:r>
              <w:rPr>
                <w:i/>
                <w:iCs/>
              </w:rPr>
              <w:t xml:space="preserve">P</w:t>
            </w:r>
            <w:r>
              <w:t xml:space="preserve">、</w:t>
            </w:r>
            <w:r>
              <w:rPr>
                <w:i/>
                <w:iCs/>
              </w:rPr>
              <w:t xml:space="preserve">t</w:t>
            </w:r>
            <w:r>
              <w:t xml:space="preserve">、</w:t>
            </w:r>
            <w:r>
              <w:rPr>
                <w:i/>
                <w:iCs/>
              </w:rPr>
              <w:t xml:space="preserve">OR</w:t>
            </w:r>
            <w:r>
              <w:rPr>
                <w:rFonts w:hint="eastAsia"/>
              </w:rPr>
              <w:t xml:space="preserve">等统计符号未用斜体</w:t>
            </w:r>
          </w:p>
        </w:tc>
        <w:tc>
          <w:tcPr/>
          <w:p>
            <w:pPr>
              <w:pStyle w:val="Compact"/>
            </w:pPr>
            <w:r>
              <w:rPr>
                <w:rFonts w:hint="eastAsia"/>
              </w:rPr>
              <w:t xml:space="preserve">按GB/T</w:t>
            </w:r>
            <w:r>
              <w:t xml:space="preserve"> 3101、GB/T </w:t>
            </w:r>
            <w:r>
              <w:rPr>
                <w:rFonts w:hint="eastAsia"/>
              </w:rPr>
              <w:t xml:space="preserve">15835规范统一</w:t>
            </w:r>
          </w:p>
        </w:tc>
      </w:tr>
      <w:tr>
        <w:tc>
          <w:tcPr/>
          <w:p>
            <w:pPr>
              <w:pStyle w:val="Compact"/>
            </w:pPr>
            <w:r>
              <w:t xml:space="preserve">8</w:t>
            </w:r>
          </w:p>
        </w:tc>
        <w:tc>
          <w:tcPr/>
          <w:p>
            <w:pPr>
              <w:pStyle w:val="Compact"/>
            </w:pPr>
            <w:r>
              <w:rPr>
                <w:rFonts w:hint="eastAsia"/>
              </w:rPr>
              <w:t xml:space="preserve">参考文献著录格式不统一：第14条为APA格式，其余为温哥华格式；部分条目信息有误</w:t>
            </w:r>
          </w:p>
        </w:tc>
        <w:tc>
          <w:tcPr/>
          <w:p>
            <w:pPr>
              <w:pStyle w:val="Compact"/>
            </w:pPr>
            <w:r>
              <w:rPr>
                <w:rFonts w:hint="eastAsia"/>
              </w:rPr>
              <w:t xml:space="preserve">按GB/T</w:t>
            </w:r>
            <w:r>
              <w:t xml:space="preserve"> </w:t>
            </w:r>
            <w:r>
              <w:rPr>
                <w:rFonts w:hint="eastAsia"/>
              </w:rPr>
              <w:t xml:space="preserve">7714—2015统一，详见《参考文献核查表》</w:t>
            </w:r>
          </w:p>
        </w:tc>
      </w:tr>
      <w:tr>
        <w:tc>
          <w:tcPr/>
          <w:p>
            <w:pPr>
              <w:pStyle w:val="Compact"/>
            </w:pPr>
            <w:r>
              <w:t xml:space="preserve">9</w:t>
            </w:r>
          </w:p>
        </w:tc>
        <w:tc>
          <w:tcPr/>
          <w:p>
            <w:pPr>
              <w:pStyle w:val="Compact"/>
            </w:pPr>
            <w:r>
              <w:rPr>
                <w:rFonts w:hint="eastAsia"/>
              </w:rPr>
              <w:t xml:space="preserve">术语不统一：</w:t>
            </w:r>
            <w:r>
              <w:rPr>
                <w:rFonts w:hint="eastAsia"/>
              </w:rPr>
              <w:t xml:space="preserve">“反酸”</w:t>
            </w:r>
            <w:r>
              <w:rPr>
                <w:rFonts w:hint="eastAsia"/>
              </w:rPr>
              <w:t xml:space="preserve">与GerdQ中文版的”反流”（regurgitation）混用；</w:t>
            </w:r>
            <w:r>
              <w:rPr>
                <w:rFonts w:hint="eastAsia"/>
              </w:rPr>
              <w:t xml:space="preserve">“胃镜阳性”</w:t>
            </w:r>
            <w:r>
              <w:rPr>
                <w:rFonts w:hint="eastAsia"/>
              </w:rPr>
              <w:t xml:space="preserve">“胃镜异常”</w:t>
            </w:r>
            <w:r>
              <w:rPr>
                <w:rFonts w:hint="eastAsia"/>
              </w:rPr>
              <w:t xml:space="preserve">混用；</w:t>
            </w:r>
            <w:r>
              <w:rPr>
                <w:rFonts w:hint="eastAsia"/>
              </w:rPr>
              <w:t xml:space="preserve">“疗效”</w:t>
            </w:r>
            <w:r>
              <w:rPr>
                <w:rFonts w:hint="eastAsia"/>
              </w:rPr>
              <w:t xml:space="preserve">“治疗有效”</w:t>
            </w:r>
            <w:r>
              <w:rPr>
                <w:rFonts w:hint="eastAsia"/>
              </w:rPr>
              <w:t xml:space="preserve">与实际定义（4GerdQ下降≥1分）不匹配</w:t>
            </w:r>
          </w:p>
        </w:tc>
        <w:tc>
          <w:tcPr/>
          <w:p>
            <w:pPr>
              <w:pStyle w:val="Compact"/>
            </w:pPr>
            <w:r>
              <w:rPr>
                <w:rFonts w:hint="eastAsia"/>
              </w:rPr>
              <w:t xml:space="preserve">统一为”反流”</w:t>
            </w:r>
            <w:r>
              <w:rPr>
                <w:rFonts w:hint="eastAsia"/>
              </w:rPr>
              <w:t xml:space="preserve">“胃镜异常”</w:t>
            </w:r>
            <w:r>
              <w:rPr>
                <w:rFonts w:hint="eastAsia"/>
              </w:rPr>
              <w:t xml:space="preserve">“症状改善”</w:t>
            </w:r>
          </w:p>
        </w:tc>
      </w:tr>
      <w:tr>
        <w:tc>
          <w:tcPr/>
          <w:p>
            <w:pPr>
              <w:pStyle w:val="Compact"/>
            </w:pPr>
            <w:r>
              <w:t xml:space="preserve">10</w:t>
            </w:r>
          </w:p>
        </w:tc>
        <w:tc>
          <w:tcPr/>
          <w:p>
            <w:pPr>
              <w:pStyle w:val="Compact"/>
            </w:pPr>
            <w:r>
              <w:rPr>
                <w:rFonts w:hint="eastAsia"/>
              </w:rPr>
              <w:t xml:space="preserve">伦理部分只写了”同意将其临床资料用于研究”，未说明是否签署知情同意书</w:t>
            </w:r>
          </w:p>
        </w:tc>
        <w:tc>
          <w:tcPr/>
          <w:p>
            <w:pPr>
              <w:pStyle w:val="Compact"/>
            </w:pPr>
            <w:r>
              <w:rPr>
                <w:rFonts w:hint="eastAsia"/>
              </w:rPr>
              <w:t xml:space="preserve">补充知情同意形式</w:t>
            </w:r>
          </w:p>
        </w:tc>
      </w:tr>
      <w:tr>
        <w:tc>
          <w:tcPr/>
          <w:p>
            <w:pPr>
              <w:pStyle w:val="Compact"/>
            </w:pPr>
            <w:r>
              <w:t xml:space="preserve">11</w:t>
            </w:r>
          </w:p>
        </w:tc>
        <w:tc>
          <w:tcPr/>
          <w:p>
            <w:pPr>
              <w:pStyle w:val="Compact"/>
            </w:pPr>
            <w:r>
              <w:rPr>
                <w:rFonts w:hint="eastAsia"/>
              </w:rPr>
              <w:t xml:space="preserve">作者单位著录格式</w:t>
            </w:r>
          </w:p>
        </w:tc>
        <w:tc>
          <w:tcPr/>
          <w:p>
            <w:pPr>
              <w:pStyle w:val="Compact"/>
            </w:pPr>
            <w:r>
              <w:rPr>
                <w:rFonts w:hint="eastAsia"/>
              </w:rPr>
              <w:t xml:space="preserve">按本刊格式改为”单位全称（城市</w:t>
            </w:r>
            <w:r>
              <w:t xml:space="preserve"> </w:t>
            </w:r>
            <w:r>
              <w:rPr>
                <w:rFonts w:hint="eastAsia"/>
              </w:rPr>
              <w:t xml:space="preserve">邮编）”</w:t>
            </w:r>
          </w:p>
        </w:tc>
      </w:tr>
    </w:tbl>
    <w:bookmarkEnd w:id="10"/>
    <w:bookmarkStart w:id="11" w:name="编辑部要求"/>
    <w:p>
      <w:pPr>
        <w:pStyle w:val="Heading3"/>
      </w:pPr>
      <w:r>
        <w:t xml:space="preserve">1.3 </w:t>
      </w:r>
      <w:r>
        <w:rPr>
          <w:rFonts w:hint="eastAsia"/>
        </w:rPr>
        <w:t xml:space="preserve">编辑部要求</w:t>
      </w:r>
    </w:p>
    <w:p>
      <w:pPr>
        <w:pStyle w:val="Compact"/>
        <w:numPr>
          <w:ilvl w:val="0"/>
          <w:numId w:val="1001"/>
        </w:numPr>
      </w:pPr>
      <w:r>
        <w:rPr>
          <w:rFonts w:hint="eastAsia"/>
        </w:rPr>
        <w:t xml:space="preserve">作者须逐条回复专家意见，回复中注明修改位置（页码、行号）。</w:t>
      </w:r>
    </w:p>
    <w:p>
      <w:pPr>
        <w:pStyle w:val="Compact"/>
        <w:numPr>
          <w:ilvl w:val="0"/>
          <w:numId w:val="1001"/>
        </w:numPr>
      </w:pPr>
      <w:r>
        <w:rPr>
          <w:rFonts w:hint="eastAsia"/>
        </w:rPr>
        <w:t xml:space="preserve">所有”【作者补充】“处须以原始数据填写，不得估算。</w:t>
      </w:r>
    </w:p>
    <w:p>
      <w:pPr>
        <w:pStyle w:val="Compact"/>
        <w:numPr>
          <w:ilvl w:val="0"/>
          <w:numId w:val="1001"/>
        </w:numPr>
      </w:pPr>
      <w:r>
        <w:rPr>
          <w:rFonts w:hint="eastAsia"/>
        </w:rPr>
        <w:t xml:space="preserve">参考文献须逐条核对原文，确保引用内容与原文一致。</w:t>
      </w:r>
    </w:p>
    <w:p>
      <w:pPr>
        <w:pStyle w:val="Compact"/>
        <w:numPr>
          <w:ilvl w:val="0"/>
          <w:numId w:val="1001"/>
        </w:numPr>
      </w:pPr>
      <w:r>
        <w:rPr>
          <w:rFonts w:hint="eastAsia"/>
        </w:rPr>
        <w:t xml:space="preserve">修改稿请同时提交修订痕迹版和清洁版。</w:t>
      </w:r>
    </w:p>
    <w:p>
      <w:r>
        <w:pict>
          <v:rect style="width:0;height:1.5pt" o:hralign="center" o:hrstd="t" o:hr="t"/>
        </w:pict>
      </w:r>
    </w:p>
    <w:bookmarkEnd w:id="11"/>
    <w:bookmarkEnd w:id="12"/>
    <w:bookmarkStart w:id="17" w:name="二同行专家审稿意见胃食管反流病专业"/>
    <w:p>
      <w:pPr>
        <w:pStyle w:val="Heading2"/>
      </w:pPr>
      <w:r>
        <w:rPr>
          <w:rFonts w:hint="eastAsia"/>
        </w:rPr>
        <w:t xml:space="preserve">二、同行专家审稿意见（胃食管反流病专业）</w:t>
      </w:r>
    </w:p>
    <w:bookmarkStart w:id="13" w:name="总体评价-1"/>
    <w:p>
      <w:pPr>
        <w:pStyle w:val="Heading3"/>
      </w:pPr>
      <w:r>
        <w:t xml:space="preserve">2.1 </w:t>
      </w:r>
      <w:r>
        <w:rPr>
          <w:rFonts w:hint="eastAsia"/>
        </w:rPr>
        <w:t xml:space="preserve">总体评价</w:t>
      </w:r>
    </w:p>
    <w:p>
      <w:pPr>
        <w:pStyle w:val="FirstParagraph"/>
      </w:pPr>
      <w:r>
        <w:rPr>
          <w:rFonts w:hint="eastAsia"/>
        </w:rPr>
        <w:t xml:space="preserve">本研究在高原肥胖就诊人群中评价GerdQ的诊断效能，并观察PPI联合减重的短期症状变化，有一定临床意义。作者对诊断效能的解读较客观，指出了≥8分界值在该人群中特异度低。统计方法总体规范：报告了Bootstrap置信区间、Holm校正，并以HC3稳健标准误做了敏感性分析。但存在以下需要解决的问题，部分涉及结论能否成立。</w:t>
      </w:r>
    </w:p>
    <w:bookmarkEnd w:id="13"/>
    <w:bookmarkStart w:id="14" w:name="主要问题"/>
    <w:p>
      <w:pPr>
        <w:pStyle w:val="Heading3"/>
      </w:pPr>
      <w:r>
        <w:t xml:space="preserve">2.2 </w:t>
      </w:r>
      <w:r>
        <w:rPr>
          <w:rFonts w:hint="eastAsia"/>
        </w:rPr>
        <w:t xml:space="preserve">主要问题</w:t>
      </w:r>
    </w:p>
    <w:p>
      <w:pPr>
        <w:pStyle w:val="FirstParagraph"/>
      </w:pPr>
      <w:r>
        <w:rPr>
          <w:b/>
          <w:bCs/>
        </w:rPr>
        <w:t xml:space="preserve">1. </w:t>
      </w:r>
      <w:r>
        <w:rPr>
          <w:rFonts w:hint="eastAsia"/>
          <w:b/>
          <w:bCs/>
        </w:rPr>
        <w:t xml:space="preserve">GerdQ计分方法描述有误（关键问题）。</w:t>
      </w:r>
      <w:r>
        <w:t xml:space="preserve"> </w:t>
      </w:r>
      <w:r>
        <w:rPr>
          <w:rFonts w:hint="eastAsia"/>
        </w:rPr>
        <w:t xml:space="preserve">原稿写”各条目按症状出现频率计0~3分（0</w:t>
      </w:r>
      <w:r>
        <w:t xml:space="preserve"> </w:t>
      </w:r>
      <w:r>
        <w:rPr>
          <w:rFonts w:hint="eastAsia"/>
        </w:rPr>
        <w:t xml:space="preserve">d=0分，1</w:t>
      </w:r>
      <w:r>
        <w:t xml:space="preserve"> </w:t>
      </w:r>
      <w:r>
        <w:rPr>
          <w:rFonts w:hint="eastAsia"/>
        </w:rPr>
        <w:t xml:space="preserve">d=1分，2~3</w:t>
      </w:r>
      <w:r>
        <w:t xml:space="preserve"> </w:t>
      </w:r>
      <w:r>
        <w:rPr>
          <w:rFonts w:hint="eastAsia"/>
        </w:rPr>
        <w:t xml:space="preserve">d=2分，4~7</w:t>
      </w:r>
      <w:r>
        <w:t xml:space="preserve"> </w:t>
      </w:r>
      <w:r>
        <w:rPr>
          <w:rFonts w:hint="eastAsia"/>
        </w:rPr>
        <w:t xml:space="preserve">d=3分）“，对6个条目一律正向计分。按JONES等的原始设计及各国验证研究，上腹痛和恶心是阴性预测条目，应反向计分（0</w:t>
      </w:r>
      <w:r>
        <w:t xml:space="preserve"> </w:t>
      </w:r>
      <w:r>
        <w:rPr>
          <w:rFonts w:hint="eastAsia"/>
        </w:rPr>
        <w:t xml:space="preserve">d=3分，4~7</w:t>
      </w:r>
      <w:r>
        <w:t xml:space="preserve"> </w:t>
      </w:r>
      <w:r>
        <w:rPr>
          <w:rFonts w:hint="eastAsia"/>
        </w:rPr>
        <w:t xml:space="preserve">d=0分）。韩国验证研究和SAKURAI等研究均明确描述了这一点。请作者确认实际计分方法：</w:t>
      </w:r>
      <w:r>
        <w:t xml:space="preserve"> </w:t>
      </w:r>
      <w:r>
        <w:t xml:space="preserve">- </w:t>
      </w:r>
      <w:r>
        <w:rPr>
          <w:rFonts w:hint="eastAsia"/>
        </w:rPr>
        <w:t xml:space="preserve">如已反向计分，须在方法中写明，并在表2、图1中注明。</w:t>
      </w:r>
      <w:r>
        <w:t xml:space="preserve"> </w:t>
      </w:r>
      <w:r>
        <w:t xml:space="preserve">- </w:t>
      </w:r>
      <w:r>
        <w:rPr>
          <w:rFonts w:hint="eastAsia"/>
        </w:rPr>
        <w:t xml:space="preserve">如未反向计分，GerdQ总分、全部诊断效能分析和分组比较均须重新计算。</w:t>
      </w:r>
    </w:p>
    <w:p>
      <w:pPr>
        <w:pStyle w:val="BodyText"/>
      </w:pPr>
      <w:r>
        <w:rPr>
          <w:rFonts w:hint="eastAsia"/>
        </w:rPr>
        <w:t xml:space="preserve">此外，原文”上腹痛与恶心……与GerdQ将二者设为负性预测条目的设计一致”的推论，须在确认计分方向后重新表述。</w:t>
      </w:r>
    </w:p>
    <w:p>
      <w:pPr>
        <w:pStyle w:val="BodyText"/>
      </w:pPr>
      <w:r>
        <w:rPr>
          <w:b/>
          <w:bCs/>
        </w:rPr>
        <w:t xml:space="preserve">2.</w:t>
      </w:r>
      <w:r>
        <w:rPr>
          <w:b/>
          <w:bCs/>
        </w:rPr>
        <w:t xml:space="preserve"> </w:t>
      </w:r>
      <w:r>
        <w:rPr>
          <w:rFonts w:hint="eastAsia"/>
          <w:b/>
          <w:bCs/>
        </w:rPr>
        <w:t xml:space="preserve">“胃镜阳性”</w:t>
      </w:r>
      <w:r>
        <w:rPr>
          <w:rFonts w:hint="eastAsia"/>
          <w:b/>
          <w:bCs/>
        </w:rPr>
        <w:t xml:space="preserve">定义与所引里昂共识2.0矛盾。</w:t>
      </w:r>
      <w:r>
        <w:t xml:space="preserve"> </w:t>
      </w:r>
      <w:r>
        <w:rPr>
          <w:rFonts w:hint="eastAsia"/>
        </w:rPr>
        <w:t xml:space="preserve">方法中将”LA分级≥A级或存在食管裂孔疝”定义为胃镜阳性，同时又引用里昂共识2.0，称”将LA</w:t>
      </w:r>
      <w:r>
        <w:t xml:space="preserve"> </w:t>
      </w:r>
      <w:r>
        <w:rPr>
          <w:rFonts w:hint="eastAsia"/>
        </w:rPr>
        <w:t xml:space="preserve">B、C、D级食管炎视为确证性内镜证据”，两者自相矛盾。按里昂共识2.0，LA</w:t>
      </w:r>
      <w:r>
        <w:t xml:space="preserve"> </w:t>
      </w:r>
      <w:r>
        <w:rPr>
          <w:rFonts w:hint="eastAsia"/>
        </w:rPr>
        <w:t xml:space="preserve">A级食管炎和食管裂孔疝只是支持性证据，不能确诊GERD。现定义会高估复合诊断的GERD例数，并影响全部诊断效能和疗效分析。局限性中称”未分别报告LA分级与食管裂孔疝”，但这是基本的内镜数据。要求：</w:t>
      </w:r>
      <w:r>
        <w:t xml:space="preserve"> </w:t>
      </w:r>
      <w:r>
        <w:t xml:space="preserve">- </w:t>
      </w:r>
      <w:r>
        <w:rPr>
          <w:rFonts w:hint="eastAsia"/>
        </w:rPr>
        <w:t xml:space="preserve">报告LA</w:t>
      </w:r>
      <w:r>
        <w:t xml:space="preserve"> </w:t>
      </w:r>
      <w:r>
        <w:rPr>
          <w:rFonts w:hint="eastAsia"/>
        </w:rPr>
        <w:t xml:space="preserve">A、B、C、D各级例数和食管裂孔疝例数。</w:t>
      </w:r>
      <w:r>
        <w:t xml:space="preserve"> </w:t>
      </w:r>
      <w:r>
        <w:t xml:space="preserve">- </w:t>
      </w:r>
      <w:r>
        <w:rPr>
          <w:rFonts w:hint="eastAsia"/>
        </w:rPr>
        <w:t xml:space="preserve">以LA</w:t>
      </w:r>
      <w:r>
        <w:t xml:space="preserve"> </w:t>
      </w:r>
      <w:r>
        <w:rPr>
          <w:rFonts w:hint="eastAsia"/>
        </w:rPr>
        <w:t xml:space="preserve">B~D级为确证标准做敏感性分析。</w:t>
      </w:r>
    </w:p>
    <w:p>
      <w:pPr>
        <w:pStyle w:val="BodyText"/>
      </w:pPr>
      <w:r>
        <w:rPr>
          <w:b/>
          <w:bCs/>
        </w:rPr>
        <w:t xml:space="preserve">3. </w:t>
      </w:r>
      <w:r>
        <w:rPr>
          <w:rFonts w:hint="eastAsia"/>
          <w:b/>
          <w:bCs/>
        </w:rPr>
        <w:t xml:space="preserve">复合参考标准、验证路径和治疗时间线不清。</w:t>
      </w:r>
      <w:r>
        <w:t xml:space="preserve"> </w:t>
      </w:r>
      <w:r>
        <w:t xml:space="preserve">- </w:t>
      </w:r>
      <w:r>
        <w:rPr>
          <w:rFonts w:hint="eastAsia"/>
        </w:rPr>
        <w:t xml:space="preserve">方法称胃镜阴性者才做PPI试验，讨论称”胃镜阳性者不再接受PPI试验”。但表1中PPI试验阳性57例，多于”胃镜阴性且PPI试验阳性”的40例，说明至少17例胃镜异常者也做了PPI试验，请说明。</w:t>
      </w:r>
      <w:r>
        <w:t xml:space="preserve"> </w:t>
      </w:r>
      <w:r>
        <w:t xml:space="preserve">- </w:t>
      </w:r>
      <w:r>
        <w:rPr>
          <w:rFonts w:hint="eastAsia"/>
        </w:rPr>
        <w:t xml:space="preserve">PPI试验（艾司奥美拉唑40</w:t>
      </w:r>
      <w:r>
        <w:t xml:space="preserve"> </w:t>
      </w:r>
      <w:r>
        <w:rPr>
          <w:rFonts w:hint="eastAsia"/>
        </w:rPr>
        <w:t xml:space="preserve">mg/d，14</w:t>
      </w:r>
      <w:r>
        <w:t xml:space="preserve"> </w:t>
      </w:r>
      <w:r>
        <w:rPr>
          <w:rFonts w:hint="eastAsia"/>
        </w:rPr>
        <w:t xml:space="preserve">d）与随后”4周标准剂量PPI治疗”的时间关系不明：14</w:t>
      </w:r>
      <w:r>
        <w:t xml:space="preserve"> </w:t>
      </w:r>
      <w:r>
        <w:rPr>
          <w:rFonts w:hint="eastAsia"/>
        </w:rPr>
        <w:t xml:space="preserve">d是否计入4周？基线4GerdQ在何时评估？如果先做PPI试验再开始4周治疗，</w:t>
      </w:r>
      <w:r>
        <w:rPr>
          <w:rFonts w:hint="eastAsia"/>
        </w:rPr>
        <w:t xml:space="preserve">“基线”</w:t>
      </w:r>
      <w:r>
        <w:rPr>
          <w:rFonts w:hint="eastAsia"/>
        </w:rPr>
        <w:t xml:space="preserve">评分已受PPI影响。</w:t>
      </w:r>
      <w:r>
        <w:t xml:space="preserve"> </w:t>
      </w:r>
      <w:r>
        <w:t xml:space="preserve">- </w:t>
      </w:r>
      <w:r>
        <w:rPr>
          <w:rFonts w:hint="eastAsia"/>
        </w:rPr>
        <w:t xml:space="preserve">PPI试验”症状改善≥50%“用什么工具评价？如果用GerdQ，指数试验（GerdQ）与参考标准（PPI试验）存在合并偏倚，会高估GerdQ的诊断效能。</w:t>
      </w:r>
      <w:r>
        <w:t xml:space="preserve"> </w:t>
      </w:r>
      <w:r>
        <w:t xml:space="preserve">- </w:t>
      </w:r>
      <w:r>
        <w:rPr>
          <w:rFonts w:hint="eastAsia"/>
        </w:rPr>
        <w:t xml:space="preserve">PPI试验本身特异度有限：韩国验证研究中，以PPI治疗后任何症状改善诊断GERD，特异度仅48.6%。讨论中应就复合参考标准的不完美性作专门讨论。</w:t>
      </w:r>
    </w:p>
    <w:p>
      <w:pPr>
        <w:pStyle w:val="BodyText"/>
      </w:pPr>
      <w:r>
        <w:rPr>
          <w:b/>
          <w:bCs/>
        </w:rPr>
        <w:t xml:space="preserve">4. </w:t>
      </w:r>
      <w:r>
        <w:rPr>
          <w:rFonts w:hint="eastAsia"/>
          <w:b/>
          <w:bCs/>
        </w:rPr>
        <w:t xml:space="preserve">谱偏倚，以及”临床特点”结论缺乏对照依据。</w:t>
      </w:r>
      <w:r>
        <w:t xml:space="preserve"> </w:t>
      </w:r>
      <w:r>
        <w:rPr>
          <w:rFonts w:hint="eastAsia"/>
        </w:rPr>
        <w:t xml:space="preserve">入组要求门诊GerdQ≥7分，所以：</w:t>
      </w:r>
      <w:r>
        <w:t xml:space="preserve"> </w:t>
      </w:r>
      <w:r>
        <w:t xml:space="preserve">- </w:t>
      </w:r>
      <w:r>
        <w:rPr>
          <w:rFonts w:hint="eastAsia"/>
        </w:rPr>
        <w:t xml:space="preserve">GerdQ≥8分者占88.3%，是入组标准的直接结果，不能作为”高原肥胖合并GERD患者反流症状负荷重”的依据。</w:t>
      </w:r>
      <w:r>
        <w:t xml:space="preserve"> </w:t>
      </w:r>
      <w:r>
        <w:t xml:space="preserve">- </w:t>
      </w:r>
      <w:r>
        <w:rPr>
          <w:rFonts w:hint="eastAsia"/>
        </w:rPr>
        <w:t xml:space="preserve">无法评价GerdQ≤7分时的诊断效能，ROC曲线实际只覆盖7~14分。</w:t>
      </w:r>
    </w:p>
    <w:p>
      <w:pPr>
        <w:pStyle w:val="BodyText"/>
      </w:pPr>
      <w:r>
        <w:rPr>
          <w:rFonts w:hint="eastAsia"/>
        </w:rPr>
        <w:t xml:space="preserve">研究未设平原地区或非肥胖对照组，摘要和结论中的”高原肥胖合并GERD患者以反流症状负荷重、治疗期减重幅度小、治疗后残余症状多为特点”不能成立。尤其”减重幅度小”是干预强度的结果，不是疾病特点。修改稿已删除这一结论。</w:t>
      </w:r>
    </w:p>
    <w:p>
      <w:pPr>
        <w:pStyle w:val="BodyText"/>
      </w:pPr>
      <w:r>
        <w:rPr>
          <w:b/>
          <w:bCs/>
        </w:rPr>
        <w:t xml:space="preserve">5. </w:t>
      </w:r>
      <w:r>
        <w:rPr>
          <w:rFonts w:hint="eastAsia"/>
          <w:b/>
          <w:bCs/>
        </w:rPr>
        <w:t xml:space="preserve">疗效定义阈值过低，疗效分析混入非GERD患者。</w:t>
      </w:r>
      <w:r>
        <w:t xml:space="preserve"> </w:t>
      </w:r>
      <w:r>
        <w:t xml:space="preserve">- </w:t>
      </w:r>
      <w:r>
        <w:rPr>
          <w:rFonts w:hint="eastAsia"/>
        </w:rPr>
        <w:t xml:space="preserve">以”4GerdQ下降≥1分”定义”治疗有效”阈值过低。4GerdQ范围0~12分，1分相当于一个条目的症状天数降一档，GerdQ也尚无公认的最小临床重要差值。建议：</w:t>
      </w:r>
      <w:r>
        <w:t xml:space="preserve"> </w:t>
      </w:r>
      <w:r>
        <w:t xml:space="preserve">- </w:t>
      </w:r>
      <w:r>
        <w:rPr>
          <w:rFonts w:hint="eastAsia"/>
        </w:rPr>
        <w:t xml:space="preserve">改称”症状改善”；</w:t>
      </w:r>
      <w:r>
        <w:t xml:space="preserve"> </w:t>
      </w:r>
      <w:r>
        <w:t xml:space="preserve">- </w:t>
      </w:r>
      <w:r>
        <w:rPr>
          <w:rFonts w:hint="eastAsia"/>
        </w:rPr>
        <w:t xml:space="preserve">补充SAKURAI等的标准，即治疗后第1、2、5、6条均≤1分定义为症状充分缓解；</w:t>
      </w:r>
      <w:r>
        <w:t xml:space="preserve"> </w:t>
      </w:r>
      <w:r>
        <w:t xml:space="preserve">- </w:t>
      </w:r>
      <w:r>
        <w:rPr>
          <w:rFonts w:hint="eastAsia"/>
        </w:rPr>
        <w:t xml:space="preserve">补充严格标准（下降≥3分）的结果。</w:t>
      </w:r>
      <w:r>
        <w:t xml:space="preserve"> </w:t>
      </w:r>
      <w:r>
        <w:t xml:space="preserve">- </w:t>
      </w:r>
      <w:r>
        <w:rPr>
          <w:rFonts w:hint="eastAsia"/>
        </w:rPr>
        <w:t xml:space="preserve">疗效分析纳入了24例复合诊断阴性者。修改稿已据表6数据补充分层结果：GERD组改善59/79（74.7%），非GERD组改善13/24（54.2%）。建议以GERD确诊者为主要分析人群。</w:t>
      </w:r>
      <w:r>
        <w:t xml:space="preserve"> </w:t>
      </w:r>
      <w:r>
        <w:t xml:space="preserve">- </w:t>
      </w:r>
      <w:r>
        <w:rPr>
          <w:rFonts w:hint="eastAsia"/>
        </w:rPr>
        <w:t xml:space="preserve">本研究为无对照的单组前后比较，评分下降可能部分来自回归均值、安慰剂效应和自然病程，结论中应予说明。</w:t>
      </w:r>
      <w:r>
        <w:t xml:space="preserve"> </w:t>
      </w:r>
      <w:r>
        <w:t xml:space="preserve">- </w:t>
      </w:r>
      <w:r>
        <w:rPr>
          <w:rFonts w:hint="eastAsia"/>
        </w:rPr>
        <w:t xml:space="preserve">表5报告Wilcoxon</w:t>
      </w:r>
      <w:r>
        <w:t xml:space="preserve"> </w:t>
      </w:r>
      <w:r>
        <w:rPr>
          <w:i/>
          <w:iCs/>
        </w:rPr>
        <w:t xml:space="preserve">W</w:t>
      </w:r>
      <w:r>
        <w:rPr>
          <w:rFonts w:hint="eastAsia"/>
        </w:rPr>
        <w:t xml:space="preserve">=0，意味着无一例患者评分升高，请核实并在正文中说明。</w:t>
      </w:r>
    </w:p>
    <w:p>
      <w:pPr>
        <w:pStyle w:val="BodyText"/>
      </w:pPr>
      <w:r>
        <w:rPr>
          <w:b/>
          <w:bCs/>
        </w:rPr>
        <w:t xml:space="preserve">6. </w:t>
      </w:r>
      <w:r>
        <w:rPr>
          <w:rFonts w:hint="eastAsia"/>
          <w:b/>
          <w:bCs/>
        </w:rPr>
        <w:t xml:space="preserve">列线图预测模型不应保留（关键问题）。</w:t>
      </w:r>
      <w:r>
        <w:t xml:space="preserve"> </w:t>
      </w:r>
      <w:r>
        <w:t xml:space="preserve">-</w:t>
      </w:r>
      <w:r>
        <w:t xml:space="preserve"> </w:t>
      </w:r>
      <w:r>
        <w:rPr>
          <w:rFonts w:hint="eastAsia"/>
          <w:b/>
          <w:bCs/>
        </w:rPr>
        <w:t xml:space="preserve">减重幅度不是基线变量。</w:t>
      </w:r>
      <w:r>
        <w:t xml:space="preserve"> </w:t>
      </w:r>
      <w:r>
        <w:rPr>
          <w:rFonts w:hint="eastAsia"/>
        </w:rPr>
        <w:t xml:space="preserve">它是治疗期间与结局同步测得的变量，治疗开始前无法获得，因此不能用于”个体化疗效预估”。以此构建的列线图在概念上不成立。</w:t>
      </w:r>
      <w:r>
        <w:t xml:space="preserve"> </w:t>
      </w:r>
      <w:r>
        <w:t xml:space="preserve">-</w:t>
      </w:r>
      <w:r>
        <w:t xml:space="preserve"> </w:t>
      </w:r>
      <w:r>
        <w:rPr>
          <w:rFonts w:hint="eastAsia"/>
          <w:b/>
          <w:bCs/>
        </w:rPr>
        <w:t xml:space="preserve">样本量不足。</w:t>
      </w:r>
      <w:r>
        <w:t xml:space="preserve"> </w:t>
      </w:r>
      <w:r>
        <w:rPr>
          <w:rFonts w:hint="eastAsia"/>
        </w:rPr>
        <w:t xml:space="preserve">未改善组仅31例，候选变量8个，事件数与变量数之比（EPV）约3.9，远低于通常要求的10~20。后退法筛选也会进一步加重过拟合。</w:t>
      </w:r>
      <w:r>
        <w:t xml:space="preserve"> </w:t>
      </w:r>
      <w:r>
        <w:t xml:space="preserve">-</w:t>
      </w:r>
      <w:r>
        <w:t xml:space="preserve"> </w:t>
      </w:r>
      <w:r>
        <w:rPr>
          <w:rFonts w:hint="eastAsia"/>
          <w:b/>
          <w:bCs/>
        </w:rPr>
        <w:t xml:space="preserve">区分度置信区间不合理。</w:t>
      </w:r>
      <w:r>
        <w:t xml:space="preserve"> </w:t>
      </w:r>
      <w:r>
        <w:rPr>
          <w:rFonts w:hint="eastAsia"/>
        </w:rPr>
        <w:t xml:space="preserve">校正AUC为0.714，但其95%CI报告为0.705</w:t>
      </w:r>
      <w:r>
        <w:rPr>
          <w:rFonts w:hint="eastAsia"/>
          <w:vertAlign w:val="subscript"/>
        </w:rPr>
        <w:t xml:space="preserve">0.730。在103例、31例事件的样本中，这一区间明显过窄。按Hanley-McNeil法近似估计应约为0.61</w:t>
      </w:r>
      <w:r>
        <w:rPr>
          <w:rFonts w:hint="eastAsia"/>
        </w:rPr>
        <w:t xml:space="preserve">0.82。疑为对乐观度校正值本身取了Bootstrap分位数，而不是AUC的抽样不确定性。</w:t>
      </w:r>
      <w:r>
        <w:t xml:space="preserve"> </w:t>
      </w:r>
      <w:r>
        <w:t xml:space="preserve">-</w:t>
      </w:r>
      <w:r>
        <w:t xml:space="preserve"> </w:t>
      </w:r>
      <w:r>
        <w:rPr>
          <w:rFonts w:hint="eastAsia"/>
          <w:b/>
          <w:bCs/>
        </w:rPr>
        <w:t xml:space="preserve">校准斜率无意义。</w:t>
      </w:r>
      <w:r>
        <w:t xml:space="preserve"> </w:t>
      </w:r>
      <w:r>
        <w:rPr>
          <w:rFonts w:hint="eastAsia"/>
        </w:rPr>
        <w:t xml:space="preserve">在建模数据上，Logistic回归的表观校准斜率恒为1.00，必须报告乐观度校正后的校准斜率。校准曲线”按四分位分组”，但各组例数为38、19、33、13，并非四分位。</w:t>
      </w:r>
      <w:r>
        <w:t xml:space="preserve"> </w:t>
      </w:r>
      <w:r>
        <w:t xml:space="preserve">-</w:t>
      </w:r>
      <w:r>
        <w:t xml:space="preserve"> </w:t>
      </w:r>
      <w:r>
        <w:rPr>
          <w:rFonts w:hint="eastAsia"/>
          <w:b/>
          <w:bCs/>
        </w:rPr>
        <w:t xml:space="preserve">决策曲线分析不适用。</w:t>
      </w:r>
      <w:r>
        <w:t xml:space="preserve"> </w:t>
      </w:r>
      <w:r>
        <w:rPr>
          <w:rFonts w:hint="eastAsia"/>
        </w:rPr>
        <w:t xml:space="preserve">结局为4GerdQ下降≥1分，无对应的临床决策阈值。</w:t>
      </w:r>
    </w:p>
    <w:p>
      <w:pPr>
        <w:pStyle w:val="BodyText"/>
      </w:pPr>
      <w:r>
        <w:rPr>
          <w:rFonts w:hint="eastAsia"/>
        </w:rPr>
        <w:t xml:space="preserve">建议删除列线图、校准曲线和决策曲线（原表7赋值列、表8、图7、图8），将多因素分析定位为”相关因素分析”。修改稿已据此调整。如作者坚持建立预测模型，只能使用基线可获得的变量，并须满足样本量要求和外部验证。</w:t>
      </w:r>
    </w:p>
    <w:p>
      <w:pPr>
        <w:pStyle w:val="BodyText"/>
      </w:pPr>
      <w:r>
        <w:rPr>
          <w:b/>
          <w:bCs/>
        </w:rPr>
        <w:t xml:space="preserve">7. </w:t>
      </w:r>
      <w:r>
        <w:rPr>
          <w:rFonts w:hint="eastAsia"/>
          <w:b/>
          <w:bCs/>
        </w:rPr>
        <w:t xml:space="preserve">多处引文与原文不符（关键问题）。</w:t>
      </w:r>
      <w:r>
        <w:t xml:space="preserve"> </w:t>
      </w:r>
      <w:r>
        <w:rPr>
          <w:rFonts w:hint="eastAsia"/>
        </w:rPr>
        <w:t xml:space="preserve">本审稿人逐条核对了原文，问题如下：</w:t>
      </w:r>
      <w:r>
        <w:t xml:space="preserve"> </w:t>
      </w:r>
      <w:r>
        <w:t xml:space="preserve">-</w:t>
      </w:r>
      <w:r>
        <w:t xml:space="preserve"> </w:t>
      </w:r>
      <w:r>
        <w:rPr>
          <w:rFonts w:hint="eastAsia"/>
          <w:b/>
          <w:bCs/>
        </w:rPr>
        <w:t xml:space="preserve">内部一致性系数。</w:t>
      </w:r>
      <w:r>
        <w:t xml:space="preserve"> </w:t>
      </w:r>
      <w:r>
        <w:rPr>
          <w:rFonts w:hint="eastAsia"/>
        </w:rPr>
        <w:t xml:space="preserve">“报告的内部一致性系数多在0.70~0.86[16,17]”</w:t>
      </w:r>
      <w:r>
        <w:rPr>
          <w:rFonts w:hint="eastAsia"/>
        </w:rPr>
        <w:t xml:space="preserve">：第16条（Suzuki</w:t>
      </w:r>
      <w:r>
        <w:t xml:space="preserve"> </w:t>
      </w:r>
      <w:r>
        <w:rPr>
          <w:rFonts w:hint="eastAsia"/>
        </w:rPr>
        <w:t xml:space="preserve">2013）摘要未报告内部一致性；第17条（Gong</w:t>
      </w:r>
      <w:r>
        <w:t xml:space="preserve"> </w:t>
      </w:r>
      <w:r>
        <w:rPr>
          <w:rFonts w:hint="eastAsia"/>
        </w:rPr>
        <w:t xml:space="preserve">2019）报告的是重测信度，组内相关系数（ICC）为0.651。该数值没有出处，应删除。</w:t>
      </w:r>
      <w:r>
        <w:t xml:space="preserve"> </w:t>
      </w:r>
      <w:r>
        <w:t xml:space="preserve">-</w:t>
      </w:r>
      <w:r>
        <w:t xml:space="preserve"> </w:t>
      </w:r>
      <w:r>
        <w:rPr>
          <w:rFonts w:hint="eastAsia"/>
          <w:b/>
          <w:bCs/>
        </w:rPr>
        <w:t xml:space="preserve">高原对下食管括约肌的影响。</w:t>
      </w:r>
      <w:r>
        <w:t xml:space="preserve"> </w:t>
      </w:r>
      <w:r>
        <w:rPr>
          <w:rFonts w:hint="eastAsia"/>
        </w:rPr>
        <w:t xml:space="preserve">“高原环境低压低氧可抑制胃肠动力、降低下食管括约肌压力，并影响胃酸分泌节律[8,9]”</w:t>
      </w:r>
      <w:r>
        <w:rPr>
          <w:rFonts w:hint="eastAsia"/>
        </w:rPr>
        <w:t xml:space="preserve">：第8条（Anand</w:t>
      </w:r>
      <w:r>
        <w:t xml:space="preserve"> </w:t>
      </w:r>
      <w:r>
        <w:rPr>
          <w:rFonts w:hint="eastAsia"/>
        </w:rPr>
        <w:t xml:space="preserve">2006）是高原消化道问题综述，未涉及下食管括约肌压力；第9条（McKenna</w:t>
      </w:r>
      <w:r>
        <w:t xml:space="preserve"> </w:t>
      </w:r>
      <w:r>
        <w:rPr>
          <w:rFonts w:hint="eastAsia"/>
        </w:rPr>
        <w:t xml:space="preserve">2022）讨论的是肠屏障功能障碍。两条均不支持该论述，应改为与原文一致的表述。</w:t>
      </w:r>
      <w:r>
        <w:t xml:space="preserve"> </w:t>
      </w:r>
      <w:r>
        <w:t xml:space="preserve">-</w:t>
      </w:r>
      <w:r>
        <w:t xml:space="preserve"> </w:t>
      </w:r>
      <w:r>
        <w:rPr>
          <w:rFonts w:hint="eastAsia"/>
          <w:b/>
          <w:bCs/>
        </w:rPr>
        <w:t xml:space="preserve">高原饮食。</w:t>
      </w:r>
      <w:r>
        <w:t xml:space="preserve"> </w:t>
      </w:r>
      <w:r>
        <w:rPr>
          <w:rFonts w:hint="eastAsia"/>
        </w:rPr>
        <w:t xml:space="preserve">“高脂、高热量、少蔬果”</w:t>
      </w:r>
      <w:r>
        <w:rPr>
          <w:rFonts w:hint="eastAsia"/>
        </w:rPr>
        <w:t xml:space="preserve">[10]：第10条是对西藏雅鲁藏布江沿岸居民的调查，结果显示肉类摄入超过推荐量，蔬菜、水果摄入不足，并未评估”高脂、高热量”，应准确转述。</w:t>
      </w:r>
      <w:r>
        <w:t xml:space="preserve"> </w:t>
      </w:r>
      <w:r>
        <w:t xml:space="preserve">-</w:t>
      </w:r>
      <w:r>
        <w:t xml:space="preserve"> </w:t>
      </w:r>
      <w:r>
        <w:rPr>
          <w:rFonts w:hint="eastAsia"/>
          <w:b/>
          <w:bCs/>
        </w:rPr>
        <w:t xml:space="preserve">Meta分析的引用。</w:t>
      </w:r>
      <w:r>
        <w:t xml:space="preserve"> </w:t>
      </w:r>
      <w:r>
        <w:rPr>
          <w:rFonts w:hint="eastAsia"/>
        </w:rPr>
        <w:t xml:space="preserve">“既往Meta分析报道GerdQ……合并AUC约0.70~0.79[17,18]”</w:t>
      </w:r>
      <w:r>
        <w:rPr>
          <w:rFonts w:hint="eastAsia"/>
        </w:rPr>
        <w:t xml:space="preserve">：第17条是韩国验证研究，不是Meta分析。两项Meta分析为第18条（黎丽群等，SROC</w:t>
      </w:r>
      <w:r>
        <w:t xml:space="preserve"> AUC </w:t>
      </w:r>
      <w:r>
        <w:rPr>
          <w:rFonts w:hint="eastAsia"/>
        </w:rPr>
        <w:t xml:space="preserve">0.789）和第19条（Simadibrata等，AUC</w:t>
      </w:r>
      <w:r>
        <w:t xml:space="preserve"> </w:t>
      </w:r>
      <w:r>
        <w:rPr>
          <w:rFonts w:hint="eastAsia"/>
        </w:rPr>
        <w:t xml:space="preserve">0.705），应引[18,19]。</w:t>
      </w:r>
      <w:r>
        <w:t xml:space="preserve"> </w:t>
      </w:r>
      <w:r>
        <w:t xml:space="preserve">-</w:t>
      </w:r>
      <w:r>
        <w:t xml:space="preserve"> </w:t>
      </w:r>
      <w:r>
        <w:rPr>
          <w:rFonts w:hint="eastAsia"/>
          <w:b/>
          <w:bCs/>
        </w:rPr>
        <w:t xml:space="preserve">ACG指南的引用。</w:t>
      </w:r>
      <w:r>
        <w:t xml:space="preserve"> </w:t>
      </w:r>
      <w:r>
        <w:rPr>
          <w:rFonts w:hint="eastAsia"/>
        </w:rPr>
        <w:t xml:space="preserve">“ACG指南亦建议超重或肥胖的GERD患者减重[22]”</w:t>
      </w:r>
      <w:r>
        <w:rPr>
          <w:rFonts w:hint="eastAsia"/>
        </w:rPr>
        <w:t xml:space="preserve">：第22条是Bai等的中国多中心研究，应为第23条（Katz等2022</w:t>
      </w:r>
      <w:r>
        <w:t xml:space="preserve"> </w:t>
      </w:r>
      <w:r>
        <w:rPr>
          <w:rFonts w:hint="eastAsia"/>
        </w:rPr>
        <w:t xml:space="preserve">ACG指南）。</w:t>
      </w:r>
      <w:r>
        <w:t xml:space="preserve"> </w:t>
      </w:r>
      <w:r>
        <w:t xml:space="preserve">-</w:t>
      </w:r>
      <w:r>
        <w:t xml:space="preserve"> </w:t>
      </w:r>
      <w:r>
        <w:rPr>
          <w:rFonts w:hint="eastAsia"/>
          <w:b/>
          <w:bCs/>
        </w:rPr>
        <w:t xml:space="preserve">Bai等研究的转述。</w:t>
      </w:r>
      <w:r>
        <w:t xml:space="preserve"> </w:t>
      </w:r>
      <w:r>
        <w:rPr>
          <w:rFonts w:hint="eastAsia"/>
        </w:rPr>
        <w:t xml:space="preserve">“Bai等……提示GerdQ的表现受人群症状负荷影响明显”</w:t>
      </w:r>
      <w:r>
        <w:rPr>
          <w:rFonts w:hint="eastAsia"/>
        </w:rPr>
        <w:t xml:space="preserve">：Bai等的结论是”反流性食管炎检出率随GerdQ评分升高而增加，但低分不能排除反流性食管炎”，原稿转述不准确。</w:t>
      </w:r>
      <w:r>
        <w:t xml:space="preserve"> </w:t>
      </w:r>
      <w:r>
        <w:t xml:space="preserve">-</w:t>
      </w:r>
      <w:r>
        <w:t xml:space="preserve"> </w:t>
      </w:r>
      <w:r>
        <w:rPr>
          <w:rFonts w:hint="eastAsia"/>
          <w:b/>
          <w:bCs/>
        </w:rPr>
        <w:t xml:space="preserve">PPI有效率。</w:t>
      </w:r>
      <w:r>
        <w:t xml:space="preserve"> </w:t>
      </w:r>
      <w:r>
        <w:rPr>
          <w:rFonts w:hint="eastAsia"/>
        </w:rPr>
        <w:t xml:space="preserve">“一般GERD人群PPI有效率（50%~70%）[24]”</w:t>
      </w:r>
      <w:r>
        <w:rPr>
          <w:rFonts w:hint="eastAsia"/>
        </w:rPr>
        <w:t xml:space="preserve">：第24条（AGA</w:t>
      </w:r>
      <w:r>
        <w:t xml:space="preserve"> </w:t>
      </w:r>
      <w:r>
        <w:rPr>
          <w:rFonts w:hint="eastAsia"/>
        </w:rPr>
        <w:t xml:space="preserve">2022）的表述是”多达半数疑似GERD患者不能从抑酸治疗中获益”，应如实转述。</w:t>
      </w:r>
      <w:r>
        <w:t xml:space="preserve"> </w:t>
      </w:r>
      <w:r>
        <w:t xml:space="preserve">-</w:t>
      </w:r>
      <w:r>
        <w:t xml:space="preserve"> </w:t>
      </w:r>
      <w:r>
        <w:rPr>
          <w:rFonts w:hint="eastAsia"/>
          <w:b/>
          <w:bCs/>
        </w:rPr>
        <w:t xml:space="preserve">对照研究的对比。</w:t>
      </w:r>
      <w:r>
        <w:t xml:space="preserve"> </w:t>
      </w:r>
      <w:r>
        <w:rPr>
          <w:rFonts w:hint="eastAsia"/>
        </w:rPr>
        <w:t xml:space="preserve">第25条（de</w:t>
      </w:r>
      <w:r>
        <w:t xml:space="preserve"> Bortoli </w:t>
      </w:r>
      <w:r>
        <w:rPr>
          <w:rFonts w:hint="eastAsia"/>
        </w:rPr>
        <w:t xml:space="preserve">2016）研究对象为糜烂性食管炎患者，减重目标为6个月内≥10%。与本研究对比时，应说明两者在减重幅度和观察期上的巨大差异。</w:t>
      </w:r>
      <w:r>
        <w:t xml:space="preserve"> </w:t>
      </w:r>
      <w:r>
        <w:t xml:space="preserve">-</w:t>
      </w:r>
      <w:r>
        <w:t xml:space="preserve"> </w:t>
      </w:r>
      <w:r>
        <w:rPr>
          <w:rFonts w:hint="eastAsia"/>
          <w:b/>
          <w:bCs/>
        </w:rPr>
        <w:t xml:space="preserve">“初级医疗人群”</w:t>
      </w:r>
      <w:r>
        <w:rPr>
          <w:rFonts w:hint="eastAsia"/>
          <w:b/>
          <w:bCs/>
        </w:rPr>
        <w:t xml:space="preserve">的引用。</w:t>
      </w:r>
      <w:r>
        <w:t xml:space="preserve"> </w:t>
      </w:r>
      <w:r>
        <w:rPr>
          <w:rFonts w:hint="eastAsia"/>
        </w:rPr>
        <w:t xml:space="preserve">“与既往在初级医疗人群中的报告明显不同[17,18,22]”</w:t>
      </w:r>
      <w:r>
        <w:rPr>
          <w:rFonts w:hint="eastAsia"/>
        </w:rPr>
        <w:t xml:space="preserve">：第17、22条均非初级医疗人群研究。</w:t>
      </w:r>
    </w:p>
    <w:p>
      <w:pPr>
        <w:pStyle w:val="BodyText"/>
      </w:pPr>
      <w:r>
        <w:rPr>
          <w:b/>
          <w:bCs/>
        </w:rPr>
        <w:t xml:space="preserve">8. </w:t>
      </w:r>
      <w:r>
        <w:rPr>
          <w:rFonts w:hint="eastAsia"/>
          <w:b/>
          <w:bCs/>
        </w:rPr>
        <w:t xml:space="preserve">量表信度指标的使用不当。</w:t>
      </w:r>
      <w:r>
        <w:t xml:space="preserve"> </w:t>
      </w:r>
      <w:r>
        <w:rPr>
          <w:rFonts w:hint="eastAsia"/>
        </w:rPr>
        <w:t xml:space="preserve">英文摘要报告Cronbach’s</w:t>
      </w:r>
      <w:r>
        <w:t xml:space="preserve"> </w:t>
      </w:r>
      <w:r>
        <w:rPr>
          <w:rFonts w:hint="eastAsia"/>
        </w:rPr>
        <w:t xml:space="preserve">α=0.281，但GerdQ同时包含阳性和阴性预测条目，属于形成性诊断指数，不适合用内部一致性评价其信度，α值低是设计使然。建议删除该指标；如需报告信度，应报告重测信度。</w:t>
      </w:r>
    </w:p>
    <w:bookmarkEnd w:id="14"/>
    <w:bookmarkStart w:id="15" w:name="次要问题"/>
    <w:p>
      <w:pPr>
        <w:pStyle w:val="Heading3"/>
      </w:pPr>
      <w:r>
        <w:t xml:space="preserve">2.3 </w:t>
      </w:r>
      <w:r>
        <w:rPr>
          <w:rFonts w:hint="eastAsia"/>
        </w:rPr>
        <w:t xml:space="preserve">次要问题</w:t>
      </w:r>
    </w:p>
    <w:p>
      <w:pPr>
        <w:pStyle w:val="Compact"/>
        <w:numPr>
          <w:ilvl w:val="0"/>
          <w:numId w:val="1002"/>
        </w:numPr>
      </w:pPr>
      <w:r>
        <w:rPr>
          <w:rFonts w:hint="eastAsia"/>
          <w:b/>
          <w:bCs/>
        </w:rPr>
        <w:t xml:space="preserve">样本量与筛选流程：</w:t>
      </w:r>
      <w:r>
        <w:t xml:space="preserve"> </w:t>
      </w:r>
      <w:r>
        <w:rPr>
          <w:rFonts w:hint="eastAsia"/>
        </w:rPr>
        <w:t xml:space="preserve">补充样本量估算依据，以及筛选、排除的人数和原因，建议附流程图。</w:t>
      </w:r>
    </w:p>
    <w:p>
      <w:pPr>
        <w:pStyle w:val="Compact"/>
        <w:numPr>
          <w:ilvl w:val="0"/>
          <w:numId w:val="1002"/>
        </w:numPr>
      </w:pPr>
      <w:r>
        <w:rPr>
          <w:rFonts w:hint="eastAsia"/>
          <w:b/>
          <w:bCs/>
        </w:rPr>
        <w:t xml:space="preserve">患者来源：</w:t>
      </w:r>
      <w:r>
        <w:t xml:space="preserve"> </w:t>
      </w:r>
      <w:r>
        <w:rPr>
          <w:rFonts w:hint="eastAsia"/>
        </w:rPr>
        <w:t xml:space="preserve">西宁市海拔约2</w:t>
      </w:r>
      <w:r>
        <w:t xml:space="preserve"> 260 </w:t>
      </w:r>
      <w:r>
        <w:rPr>
          <w:rFonts w:hint="eastAsia"/>
        </w:rPr>
        <w:t xml:space="preserve">m，请说明患者在”海拔≥3</w:t>
      </w:r>
      <w:r>
        <w:t xml:space="preserve"> 000 </w:t>
      </w:r>
      <w:r>
        <w:rPr>
          <w:rFonts w:hint="eastAsia"/>
        </w:rPr>
        <w:t xml:space="preserve">m地区居住≥10年”的核实方式，以及来源地区分布。</w:t>
      </w:r>
    </w:p>
    <w:p>
      <w:pPr>
        <w:pStyle w:val="Compact"/>
        <w:numPr>
          <w:ilvl w:val="0"/>
          <w:numId w:val="1002"/>
        </w:numPr>
      </w:pPr>
      <w:r>
        <w:rPr>
          <w:rFonts w:hint="eastAsia"/>
          <w:b/>
          <w:bCs/>
        </w:rPr>
        <w:t xml:space="preserve">肥胖分级：</w:t>
      </w:r>
      <w:r>
        <w:t xml:space="preserve"> </w:t>
      </w:r>
      <w:r>
        <w:rPr>
          <w:rFonts w:hint="eastAsia"/>
        </w:rPr>
        <w:t xml:space="preserve">补充轻度、中度、重度肥胖的分组切点，并注明BMI≥28</w:t>
      </w:r>
      <w:r>
        <w:t xml:space="preserve"> </w:t>
      </w:r>
      <w:r>
        <w:rPr>
          <w:rFonts w:hint="eastAsia"/>
        </w:rPr>
        <w:t xml:space="preserve">kg/m²的判定依据（WS/T</w:t>
      </w:r>
      <w:r>
        <w:t xml:space="preserve"> </w:t>
      </w:r>
      <w:r>
        <w:rPr>
          <w:rFonts w:hint="eastAsia"/>
        </w:rPr>
        <w:t xml:space="preserve">428—2013）。</w:t>
      </w:r>
    </w:p>
    <w:p>
      <w:pPr>
        <w:pStyle w:val="Compact"/>
        <w:numPr>
          <w:ilvl w:val="0"/>
          <w:numId w:val="1002"/>
        </w:numPr>
      </w:pPr>
      <w:r>
        <w:rPr>
          <w:rFonts w:hint="eastAsia"/>
          <w:b/>
          <w:bCs/>
        </w:rPr>
        <w:t xml:space="preserve">PPI试验剂量：</w:t>
      </w:r>
      <w:r>
        <w:t xml:space="preserve"> </w:t>
      </w:r>
      <w:r>
        <w:rPr>
          <w:rFonts w:hint="eastAsia"/>
        </w:rPr>
        <w:t xml:space="preserve">艾司奥美拉唑40</w:t>
      </w:r>
      <w:r>
        <w:t xml:space="preserve"> </w:t>
      </w:r>
      <w:r>
        <w:rPr>
          <w:rFonts w:hint="eastAsia"/>
        </w:rPr>
        <w:t xml:space="preserve">mg每日1次、疗程14</w:t>
      </w:r>
      <w:r>
        <w:t xml:space="preserve"> </w:t>
      </w:r>
      <w:r>
        <w:rPr>
          <w:rFonts w:hint="eastAsia"/>
        </w:rPr>
        <w:t xml:space="preserve">d，请说明依据。我国专家共识和多数研究所用方案不尽相同。</w:t>
      </w:r>
    </w:p>
    <w:p>
      <w:pPr>
        <w:pStyle w:val="Compact"/>
        <w:numPr>
          <w:ilvl w:val="0"/>
          <w:numId w:val="1002"/>
        </w:numPr>
      </w:pPr>
      <w:r>
        <w:rPr>
          <w:rFonts w:hint="eastAsia"/>
          <w:b/>
          <w:bCs/>
        </w:rPr>
        <w:t xml:space="preserve">内镜判读：</w:t>
      </w:r>
      <w:r>
        <w:t xml:space="preserve"> </w:t>
      </w:r>
      <w:r>
        <w:rPr>
          <w:rFonts w:hint="eastAsia"/>
        </w:rPr>
        <w:t xml:space="preserve">补充2名内镜医师判读不一致时的处理方式，建议报告判读一致性（κ值）。</w:t>
      </w:r>
    </w:p>
    <w:p>
      <w:pPr>
        <w:pStyle w:val="Compact"/>
        <w:numPr>
          <w:ilvl w:val="0"/>
          <w:numId w:val="1002"/>
        </w:numPr>
      </w:pPr>
      <w:r>
        <w:rPr>
          <w:rFonts w:hint="eastAsia"/>
          <w:b/>
          <w:bCs/>
        </w:rPr>
        <w:t xml:space="preserve">4GerdQ的出处：</w:t>
      </w:r>
      <w:r>
        <w:t xml:space="preserve"> </w:t>
      </w:r>
      <w:r>
        <w:rPr>
          <w:rFonts w:hint="eastAsia"/>
        </w:rPr>
        <w:t xml:space="preserve">第14条（SAKURAI等）支持以第1、2、5、6条评价疗效，引用恰当，但该研究的疗效标准是各条目≤1分，与本研究的”下降≥1分”不同，请在方法中说明差异。</w:t>
      </w:r>
    </w:p>
    <w:p>
      <w:pPr>
        <w:pStyle w:val="Compact"/>
        <w:numPr>
          <w:ilvl w:val="0"/>
          <w:numId w:val="1002"/>
        </w:numPr>
      </w:pPr>
      <w:r>
        <w:rPr>
          <w:rFonts w:hint="eastAsia"/>
          <w:b/>
          <w:bCs/>
        </w:rPr>
        <w:t xml:space="preserve">χ²值：</w:t>
      </w:r>
      <w:r>
        <w:t xml:space="preserve"> </w:t>
      </w:r>
      <w:r>
        <w:rPr>
          <w:rFonts w:hint="eastAsia"/>
        </w:rPr>
        <w:t xml:space="preserve">原表6中2×2表的χ²值经复算为连续性校正值，例如胃镜异常的未校正值为6.46，校正后为5.38，须在统计方法中写明。</w:t>
      </w:r>
    </w:p>
    <w:p>
      <w:pPr>
        <w:pStyle w:val="Compact"/>
        <w:numPr>
          <w:ilvl w:val="0"/>
          <w:numId w:val="1002"/>
        </w:numPr>
      </w:pPr>
      <w:r>
        <w:rPr>
          <w:rFonts w:hint="eastAsia"/>
          <w:b/>
          <w:bCs/>
        </w:rPr>
        <w:t xml:space="preserve">图5：</w:t>
      </w:r>
      <w:r>
        <w:t xml:space="preserve"> </w:t>
      </w:r>
      <w:r>
        <w:rPr>
          <w:rFonts w:hint="eastAsia"/>
        </w:rPr>
        <w:t xml:space="preserve">建议改为</w:t>
      </w:r>
      <w:r>
        <w:rPr>
          <w:i/>
          <w:iCs/>
        </w:rPr>
        <w:t xml:space="preserve">OR</w:t>
      </w:r>
      <w:r>
        <w:rPr>
          <w:rFonts w:hint="eastAsia"/>
        </w:rPr>
        <w:t xml:space="preserve">及95%CI森林图，替代−log₁₀</w:t>
      </w:r>
      <w:r>
        <w:rPr>
          <w:i/>
          <w:iCs/>
        </w:rPr>
        <w:t xml:space="preserve">P</w:t>
      </w:r>
      <w:r>
        <w:rPr>
          <w:rFonts w:hint="eastAsia"/>
        </w:rPr>
        <w:t xml:space="preserve">条形图。</w:t>
      </w:r>
    </w:p>
    <w:p>
      <w:pPr>
        <w:pStyle w:val="Compact"/>
        <w:numPr>
          <w:ilvl w:val="0"/>
          <w:numId w:val="1002"/>
        </w:numPr>
      </w:pPr>
      <w:r>
        <w:rPr>
          <w:rFonts w:hint="eastAsia"/>
          <w:b/>
          <w:bCs/>
        </w:rPr>
        <w:t xml:space="preserve">肥胖分组比较：</w:t>
      </w:r>
      <w:r>
        <w:t xml:space="preserve"> </w:t>
      </w:r>
      <w:r>
        <w:rPr>
          <w:rFonts w:hint="eastAsia"/>
        </w:rPr>
        <w:t xml:space="preserve">中度肥胖组高于轻度组，但重度组不高，且连续BMI无相关性，提示可能是抽样波动。讨论中的”阈值效应”缺乏依据，建议删除。</w:t>
      </w:r>
    </w:p>
    <w:p>
      <w:pPr>
        <w:pStyle w:val="Compact"/>
        <w:numPr>
          <w:ilvl w:val="0"/>
          <w:numId w:val="1002"/>
        </w:numPr>
      </w:pPr>
      <w:r>
        <w:rPr>
          <w:rFonts w:hint="eastAsia"/>
          <w:b/>
          <w:bCs/>
        </w:rPr>
        <w:t xml:space="preserve">结论用词：</w:t>
      </w:r>
      <w:r>
        <w:t xml:space="preserve"> </w:t>
      </w:r>
      <w:r>
        <w:rPr>
          <w:rFonts w:hint="eastAsia"/>
        </w:rPr>
        <w:t xml:space="preserve">“可作为个体化疗效预估的辅助工具”</w:t>
      </w:r>
      <w:r>
        <w:rPr>
          <w:rFonts w:hint="eastAsia"/>
        </w:rPr>
        <w:t xml:space="preserve">须删除；GerdQ的判别能力宜表述为”有限”，因AUC</w:t>
      </w:r>
      <w:r>
        <w:t xml:space="preserve"> </w:t>
      </w:r>
      <w:r>
        <w:rPr>
          <w:rFonts w:hint="eastAsia"/>
        </w:rPr>
        <w:t xml:space="preserve">95%CI下限为0.58。</w:t>
      </w:r>
    </w:p>
    <w:p>
      <w:pPr>
        <w:pStyle w:val="Compact"/>
        <w:numPr>
          <w:ilvl w:val="0"/>
          <w:numId w:val="1002"/>
        </w:numPr>
      </w:pPr>
      <w:r>
        <w:rPr>
          <w:rFonts w:hint="eastAsia"/>
          <w:b/>
          <w:bCs/>
        </w:rPr>
        <w:t xml:space="preserve">第6条参考文献：</w:t>
      </w:r>
      <w:r>
        <w:t xml:space="preserve"> </w:t>
      </w:r>
      <w:r>
        <w:rPr>
          <w:rFonts w:hint="eastAsia"/>
        </w:rPr>
        <w:t xml:space="preserve">版次和页码有误。</w:t>
      </w:r>
      <w:r>
        <w:rPr>
          <w:i/>
          <w:iCs/>
        </w:rPr>
        <w:t xml:space="preserve">The Esophagus</w:t>
      </w:r>
      <w:r>
        <w:t xml:space="preserve"> </w:t>
      </w:r>
      <w:r>
        <w:rPr>
          <w:rFonts w:hint="eastAsia"/>
        </w:rPr>
        <w:t xml:space="preserve">2021年版为第6版，该章页码为624-632。</w:t>
      </w:r>
    </w:p>
    <w:bookmarkEnd w:id="15"/>
    <w:bookmarkStart w:id="16" w:name="审稿结论"/>
    <w:p>
      <w:pPr>
        <w:pStyle w:val="Heading3"/>
      </w:pPr>
      <w:r>
        <w:t xml:space="preserve">2.4 </w:t>
      </w:r>
      <w:r>
        <w:rPr>
          <w:rFonts w:hint="eastAsia"/>
        </w:rPr>
        <w:t xml:space="preserve">审稿结论</w:t>
      </w:r>
    </w:p>
    <w:p>
      <w:pPr>
        <w:pStyle w:val="FirstParagraph"/>
      </w:pPr>
      <w:r>
        <w:rPr>
          <w:rFonts w:hint="eastAsia"/>
        </w:rPr>
        <w:t xml:space="preserve">稿件有一定临床价值，但计分方法、内镜诊断定义、参考标准、疗效定义和预测模型存在根本性问题，部分引文与原文不符。建议</w:t>
      </w:r>
      <w:r>
        <w:rPr>
          <w:rFonts w:hint="eastAsia"/>
          <w:b/>
          <w:bCs/>
        </w:rPr>
        <w:t xml:space="preserve">大修后再审</w:t>
      </w:r>
      <w:r>
        <w:rPr>
          <w:rFonts w:hint="eastAsia"/>
        </w:rPr>
        <w:t xml:space="preserve">。作者须完成主要问题第1~7条的修改并补充相应原始数据，修改稿须重新送审。</w:t>
      </w:r>
    </w:p>
    <w:p>
      <w:r>
        <w:pict>
          <v:rect style="width:0;height:1.5pt" o:hralign="center" o:hrstd="t" o:hr="t"/>
        </w:pict>
      </w:r>
    </w:p>
    <w:bookmarkEnd w:id="16"/>
    <w:bookmarkEnd w:id="17"/>
    <w:bookmarkStart w:id="18" w:name="三对初审意见的复核与修订说明"/>
    <w:p>
      <w:pPr>
        <w:pStyle w:val="Heading2"/>
      </w:pPr>
      <w:r>
        <w:rPr>
          <w:rFonts w:hint="eastAsia"/>
        </w:rPr>
        <w:t xml:space="preserve">三、对初审意见的复核与修订说明</w:t>
      </w:r>
    </w:p>
    <w:p>
      <w:pPr>
        <w:pStyle w:val="FirstParagraph"/>
      </w:pPr>
      <w:r>
        <w:rPr>
          <w:rFonts w:hint="eastAsia"/>
        </w:rPr>
        <w:t xml:space="preserve">撰写上述意见后，本审稿人对初审意见逐条复核，修订了以下3处，以免对作者提出不当要求：</w:t>
      </w:r>
    </w:p>
    <w:p>
      <w:pPr>
        <w:pStyle w:val="Compact"/>
        <w:numPr>
          <w:ilvl w:val="0"/>
          <w:numId w:val="1003"/>
        </w:numPr>
      </w:pPr>
      <w:r>
        <w:rPr>
          <w:rFonts w:hint="eastAsia"/>
          <w:b/>
          <w:bCs/>
        </w:rPr>
        <w:t xml:space="preserve">4GerdQ的出处：</w:t>
      </w:r>
      <w:r>
        <w:t xml:space="preserve"> </w:t>
      </w:r>
      <w:r>
        <w:rPr>
          <w:rFonts w:hint="eastAsia"/>
        </w:rPr>
        <w:t xml:space="preserve">初审曾怀疑”4条目GerdQ”缺乏出处。查阅SAKURAI等全文后确认，该研究以第1、2、5、6条评价治疗反应，第14条引用恰当，故改为”引用恰当，但疗效标准不同”（次要问题第6条）。</w:t>
      </w:r>
    </w:p>
    <w:p>
      <w:pPr>
        <w:pStyle w:val="Compact"/>
        <w:numPr>
          <w:ilvl w:val="0"/>
          <w:numId w:val="1003"/>
        </w:numPr>
      </w:pPr>
      <w:r>
        <w:rPr>
          <w:rFonts w:hint="eastAsia"/>
          <w:b/>
          <w:bCs/>
        </w:rPr>
        <w:t xml:space="preserve">χ²检验：</w:t>
      </w:r>
      <w:r>
        <w:t xml:space="preserve"> </w:t>
      </w:r>
      <w:r>
        <w:rPr>
          <w:rFonts w:hint="eastAsia"/>
        </w:rPr>
        <w:t xml:space="preserve">初审曾质疑表6中χ²=5.38与</w:t>
      </w:r>
      <w:r>
        <w:rPr>
          <w:i/>
          <w:iCs/>
        </w:rPr>
        <w:t xml:space="preserve">P</w:t>
      </w:r>
      <w:r>
        <w:rPr>
          <w:rFonts w:hint="eastAsia"/>
        </w:rPr>
        <w:t xml:space="preserve">=0.020不匹配。复算确认5.38为连续性校正值，</w:t>
      </w:r>
      <w:r>
        <w:rPr>
          <w:i/>
          <w:iCs/>
        </w:rPr>
        <w:t xml:space="preserve">P</w:t>
      </w:r>
      <w:r>
        <w:rPr>
          <w:rFonts w:hint="eastAsia"/>
        </w:rPr>
        <w:t xml:space="preserve">值正确，故改为”须在方法中注明连续性校正”（次要问题第7条）。</w:t>
      </w:r>
    </w:p>
    <w:p>
      <w:pPr>
        <w:pStyle w:val="Compact"/>
        <w:numPr>
          <w:ilvl w:val="0"/>
          <w:numId w:val="1003"/>
        </w:numPr>
      </w:pPr>
      <w:r>
        <w:rPr>
          <w:rFonts w:hint="eastAsia"/>
          <w:b/>
          <w:bCs/>
        </w:rPr>
        <w:t xml:space="preserve">诊断效能数据：</w:t>
      </w:r>
      <w:r>
        <w:t xml:space="preserve"> </w:t>
      </w:r>
      <w:r>
        <w:rPr>
          <w:rFonts w:hint="eastAsia"/>
        </w:rPr>
        <w:t xml:space="preserve">初审曾对诊断四格表数据存疑。复算确认，≥8分和≥10分截断值的灵敏度、特异度、预测值与阳性79例、阴性24例完全吻合，数据内部一致，故删除该意见。</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2026-10-13T15:52:45Z</dcterms:created>
  <dcterms:modified xsi:type="dcterms:W3CDTF">2026-10-13T15:52:45Z</dcterms:modified>
</cp:coreProperties>
</file>

<file path=docProps/custom.xml><?xml version="1.0" encoding="utf-8"?>
<Properties xmlns="http://schemas.openxmlformats.org/officeDocument/2006/custom-properties" xmlns:vt="http://schemas.openxmlformats.org/officeDocument/2006/docPropsVTypes"/>
</file>